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248B9" w14:textId="77777777" w:rsidR="0015324C" w:rsidRPr="00B95C6C" w:rsidRDefault="0015324C" w:rsidP="00A20EFB">
      <w:pPr>
        <w:spacing w:after="0"/>
        <w:jc w:val="both"/>
        <w:rPr>
          <w:sz w:val="22"/>
          <w:szCs w:val="22"/>
        </w:rPr>
      </w:pPr>
    </w:p>
    <w:p w14:paraId="7BACB234" w14:textId="77777777" w:rsidR="0015324C" w:rsidRPr="00B95C6C" w:rsidRDefault="0015324C" w:rsidP="00A20EFB">
      <w:pPr>
        <w:spacing w:after="0"/>
        <w:jc w:val="both"/>
        <w:rPr>
          <w:sz w:val="22"/>
          <w:szCs w:val="22"/>
        </w:rPr>
      </w:pPr>
    </w:p>
    <w:p w14:paraId="2B3D5C4B" w14:textId="77777777" w:rsidR="0015324C" w:rsidRPr="00B95C6C" w:rsidRDefault="0015324C" w:rsidP="00A20EFB">
      <w:pPr>
        <w:spacing w:after="0"/>
        <w:jc w:val="both"/>
        <w:rPr>
          <w:sz w:val="22"/>
          <w:szCs w:val="22"/>
        </w:rPr>
      </w:pPr>
    </w:p>
    <w:p w14:paraId="6C0A7632" w14:textId="77777777" w:rsidR="0015324C" w:rsidRPr="00B95C6C" w:rsidRDefault="0015324C" w:rsidP="00A20EFB">
      <w:pPr>
        <w:spacing w:after="0"/>
        <w:jc w:val="both"/>
        <w:rPr>
          <w:sz w:val="22"/>
          <w:szCs w:val="22"/>
        </w:rPr>
      </w:pPr>
    </w:p>
    <w:p w14:paraId="68654AE8" w14:textId="77777777" w:rsidR="0015324C" w:rsidRPr="00B95C6C" w:rsidRDefault="0015324C" w:rsidP="00A20EFB">
      <w:pPr>
        <w:spacing w:after="0"/>
        <w:jc w:val="both"/>
        <w:rPr>
          <w:sz w:val="22"/>
          <w:szCs w:val="22"/>
        </w:rPr>
      </w:pPr>
    </w:p>
    <w:p w14:paraId="10F7921B" w14:textId="77777777" w:rsidR="0015324C" w:rsidRPr="00B95C6C" w:rsidRDefault="0015324C" w:rsidP="00A20EFB">
      <w:pPr>
        <w:pStyle w:val="Title"/>
        <w:spacing w:after="0"/>
        <w:jc w:val="center"/>
      </w:pPr>
      <w:r w:rsidRPr="00B95C6C">
        <w:t>Global Coalition to Protect Education from Attack</w:t>
      </w:r>
    </w:p>
    <w:p w14:paraId="413D50BD" w14:textId="77777777" w:rsidR="00931FB8" w:rsidRDefault="00931FB8" w:rsidP="00A20EFB">
      <w:pPr>
        <w:pStyle w:val="Title"/>
        <w:spacing w:after="0"/>
        <w:jc w:val="center"/>
      </w:pPr>
    </w:p>
    <w:p w14:paraId="04ACD7E6" w14:textId="77777777" w:rsidR="0015324C" w:rsidRPr="00B95C6C" w:rsidRDefault="0015324C" w:rsidP="00A20EFB">
      <w:pPr>
        <w:pStyle w:val="Title"/>
        <w:spacing w:after="0"/>
        <w:jc w:val="center"/>
      </w:pPr>
      <w:r w:rsidRPr="00B95C6C">
        <w:t xml:space="preserve">Guidelines for Protecting Schools and Universities from Military Use </w:t>
      </w:r>
      <w:proofErr w:type="gramStart"/>
      <w:r w:rsidRPr="00B95C6C">
        <w:t>During</w:t>
      </w:r>
      <w:proofErr w:type="gramEnd"/>
      <w:r w:rsidRPr="00B95C6C">
        <w:t xml:space="preserve"> Armed Conflict</w:t>
      </w:r>
    </w:p>
    <w:p w14:paraId="684F39E0" w14:textId="77777777" w:rsidR="00931FB8" w:rsidRDefault="00931FB8" w:rsidP="00A20EFB">
      <w:pPr>
        <w:pStyle w:val="Title"/>
        <w:spacing w:after="0"/>
        <w:jc w:val="center"/>
      </w:pPr>
    </w:p>
    <w:p w14:paraId="75E34DF8" w14:textId="77777777" w:rsidR="0015324C" w:rsidRPr="00B95C6C" w:rsidRDefault="0015324C" w:rsidP="00A20EFB">
      <w:pPr>
        <w:pStyle w:val="Title"/>
        <w:spacing w:after="0"/>
        <w:jc w:val="center"/>
      </w:pPr>
      <w:r w:rsidRPr="00B95C6C">
        <w:t>Advocacy Strategy</w:t>
      </w:r>
    </w:p>
    <w:p w14:paraId="2C3324DF" w14:textId="16B86601" w:rsidR="0015324C" w:rsidRPr="00B95C6C" w:rsidRDefault="00931FB8" w:rsidP="00A20EFB">
      <w:pPr>
        <w:pStyle w:val="Title"/>
        <w:spacing w:after="0"/>
        <w:jc w:val="center"/>
      </w:pPr>
      <w:r>
        <w:t>January</w:t>
      </w:r>
      <w:r w:rsidR="0015324C" w:rsidRPr="00B95C6C">
        <w:t xml:space="preserve"> 2015</w:t>
      </w:r>
      <w:r>
        <w:t xml:space="preserve"> – June 2016</w:t>
      </w:r>
    </w:p>
    <w:p w14:paraId="3C4FB607" w14:textId="77777777" w:rsidR="0015324C" w:rsidRPr="00B95C6C" w:rsidRDefault="0015324C" w:rsidP="00A20EFB">
      <w:pPr>
        <w:spacing w:after="0"/>
        <w:jc w:val="both"/>
        <w:rPr>
          <w:sz w:val="22"/>
          <w:szCs w:val="22"/>
        </w:rPr>
      </w:pPr>
    </w:p>
    <w:p w14:paraId="5906F0F9" w14:textId="77777777" w:rsidR="0015324C" w:rsidRPr="00B95C6C" w:rsidRDefault="0015324C" w:rsidP="00A20EFB">
      <w:pPr>
        <w:spacing w:after="0"/>
        <w:jc w:val="both"/>
        <w:rPr>
          <w:sz w:val="22"/>
          <w:szCs w:val="22"/>
        </w:rPr>
      </w:pPr>
    </w:p>
    <w:p w14:paraId="7A5776C4" w14:textId="77777777" w:rsidR="0015324C" w:rsidRPr="00B95C6C" w:rsidRDefault="0015324C" w:rsidP="00A20EFB">
      <w:pPr>
        <w:spacing w:after="0"/>
        <w:jc w:val="both"/>
        <w:rPr>
          <w:sz w:val="22"/>
          <w:szCs w:val="22"/>
        </w:rPr>
      </w:pPr>
      <w:r w:rsidRPr="00B95C6C">
        <w:rPr>
          <w:sz w:val="22"/>
          <w:szCs w:val="22"/>
        </w:rPr>
        <w:br w:type="page"/>
      </w:r>
    </w:p>
    <w:p w14:paraId="08743624" w14:textId="77777777" w:rsidR="0015324C" w:rsidRPr="00B95C6C" w:rsidRDefault="0015324C" w:rsidP="00A20EFB">
      <w:pPr>
        <w:spacing w:after="0"/>
        <w:jc w:val="both"/>
        <w:rPr>
          <w:sz w:val="22"/>
          <w:szCs w:val="22"/>
        </w:rPr>
      </w:pPr>
    </w:p>
    <w:p w14:paraId="6D4DBD25" w14:textId="77777777" w:rsidR="0015324C" w:rsidRPr="00B95C6C" w:rsidRDefault="0015324C" w:rsidP="00A20EFB">
      <w:pPr>
        <w:spacing w:after="0"/>
        <w:jc w:val="both"/>
        <w:rPr>
          <w:b/>
          <w:sz w:val="22"/>
          <w:szCs w:val="22"/>
        </w:rPr>
      </w:pPr>
      <w:r w:rsidRPr="00B95C6C">
        <w:rPr>
          <w:b/>
          <w:sz w:val="22"/>
          <w:szCs w:val="22"/>
        </w:rPr>
        <w:t>Table of contents</w:t>
      </w:r>
    </w:p>
    <w:p w14:paraId="2E224CE8" w14:textId="77777777" w:rsidR="00D23C6E" w:rsidRPr="00D23C6E" w:rsidRDefault="0015324C">
      <w:pPr>
        <w:pStyle w:val="TOC1"/>
        <w:tabs>
          <w:tab w:val="right" w:leader="dot" w:pos="8290"/>
        </w:tabs>
        <w:rPr>
          <w:b w:val="0"/>
          <w:noProof/>
          <w:sz w:val="22"/>
          <w:szCs w:val="22"/>
          <w:lang w:val="en-US" w:eastAsia="fr-CH"/>
        </w:rPr>
      </w:pPr>
      <w:r w:rsidRPr="00950AE0">
        <w:rPr>
          <w:sz w:val="22"/>
          <w:szCs w:val="22"/>
        </w:rPr>
        <w:fldChar w:fldCharType="begin"/>
      </w:r>
      <w:r w:rsidRPr="00950AE0">
        <w:rPr>
          <w:sz w:val="22"/>
          <w:szCs w:val="22"/>
        </w:rPr>
        <w:instrText xml:space="preserve"> TOC \o "1-3" </w:instrText>
      </w:r>
      <w:r w:rsidRPr="00950AE0">
        <w:rPr>
          <w:sz w:val="22"/>
          <w:szCs w:val="22"/>
        </w:rPr>
        <w:fldChar w:fldCharType="separate"/>
      </w:r>
      <w:r w:rsidR="00D23C6E">
        <w:rPr>
          <w:noProof/>
        </w:rPr>
        <w:t>Section 1: Introduction</w:t>
      </w:r>
      <w:r w:rsidR="00D23C6E">
        <w:rPr>
          <w:noProof/>
        </w:rPr>
        <w:tab/>
      </w:r>
      <w:r w:rsidR="00D23C6E">
        <w:rPr>
          <w:noProof/>
        </w:rPr>
        <w:fldChar w:fldCharType="begin"/>
      </w:r>
      <w:r w:rsidR="00D23C6E">
        <w:rPr>
          <w:noProof/>
        </w:rPr>
        <w:instrText xml:space="preserve"> PAGEREF _Toc412485692 \h </w:instrText>
      </w:r>
      <w:r w:rsidR="00D23C6E">
        <w:rPr>
          <w:noProof/>
        </w:rPr>
      </w:r>
      <w:r w:rsidR="00D23C6E">
        <w:rPr>
          <w:noProof/>
        </w:rPr>
        <w:fldChar w:fldCharType="separate"/>
      </w:r>
      <w:r w:rsidR="00D23C6E">
        <w:rPr>
          <w:noProof/>
        </w:rPr>
        <w:t>3</w:t>
      </w:r>
      <w:r w:rsidR="00D23C6E">
        <w:rPr>
          <w:noProof/>
        </w:rPr>
        <w:fldChar w:fldCharType="end"/>
      </w:r>
    </w:p>
    <w:p w14:paraId="74ED3ACB" w14:textId="77777777" w:rsidR="00D23C6E" w:rsidRPr="00D23C6E" w:rsidRDefault="00D23C6E">
      <w:pPr>
        <w:pStyle w:val="TOC2"/>
        <w:tabs>
          <w:tab w:val="left" w:pos="880"/>
          <w:tab w:val="right" w:leader="dot" w:pos="8290"/>
        </w:tabs>
        <w:rPr>
          <w:b w:val="0"/>
          <w:noProof/>
          <w:lang w:val="en-US" w:eastAsia="fr-CH"/>
        </w:rPr>
      </w:pPr>
      <w:r>
        <w:rPr>
          <w:noProof/>
        </w:rPr>
        <w:t>1.1.</w:t>
      </w:r>
      <w:r w:rsidRPr="00D23C6E">
        <w:rPr>
          <w:b w:val="0"/>
          <w:noProof/>
          <w:lang w:val="en-US" w:eastAsia="fr-CH"/>
        </w:rPr>
        <w:tab/>
      </w:r>
      <w:r>
        <w:rPr>
          <w:noProof/>
        </w:rPr>
        <w:t>The problem of military use of schools during armed conflict</w:t>
      </w:r>
      <w:r>
        <w:rPr>
          <w:noProof/>
        </w:rPr>
        <w:tab/>
      </w:r>
      <w:r>
        <w:rPr>
          <w:noProof/>
        </w:rPr>
        <w:fldChar w:fldCharType="begin"/>
      </w:r>
      <w:r>
        <w:rPr>
          <w:noProof/>
        </w:rPr>
        <w:instrText xml:space="preserve"> PAGEREF _Toc412485693 \h </w:instrText>
      </w:r>
      <w:r>
        <w:rPr>
          <w:noProof/>
        </w:rPr>
      </w:r>
      <w:r>
        <w:rPr>
          <w:noProof/>
        </w:rPr>
        <w:fldChar w:fldCharType="separate"/>
      </w:r>
      <w:r>
        <w:rPr>
          <w:noProof/>
        </w:rPr>
        <w:t>3</w:t>
      </w:r>
      <w:r>
        <w:rPr>
          <w:noProof/>
        </w:rPr>
        <w:fldChar w:fldCharType="end"/>
      </w:r>
    </w:p>
    <w:p w14:paraId="4BF567C5" w14:textId="77777777" w:rsidR="00D23C6E" w:rsidRPr="00D23C6E" w:rsidRDefault="00D23C6E">
      <w:pPr>
        <w:pStyle w:val="TOC2"/>
        <w:tabs>
          <w:tab w:val="left" w:pos="880"/>
          <w:tab w:val="right" w:leader="dot" w:pos="8290"/>
        </w:tabs>
        <w:rPr>
          <w:b w:val="0"/>
          <w:noProof/>
          <w:lang w:val="en-US" w:eastAsia="fr-CH"/>
        </w:rPr>
      </w:pPr>
      <w:r>
        <w:rPr>
          <w:noProof/>
        </w:rPr>
        <w:t>1.2.</w:t>
      </w:r>
      <w:r w:rsidRPr="00D23C6E">
        <w:rPr>
          <w:b w:val="0"/>
          <w:noProof/>
          <w:lang w:val="en-US" w:eastAsia="fr-CH"/>
        </w:rPr>
        <w:tab/>
      </w:r>
      <w:r>
        <w:rPr>
          <w:noProof/>
        </w:rPr>
        <w:t>The Guidelines for Protecting Schools and Universities from Military Use during Armed Conflict</w:t>
      </w:r>
      <w:r>
        <w:rPr>
          <w:noProof/>
        </w:rPr>
        <w:tab/>
      </w:r>
      <w:r>
        <w:rPr>
          <w:noProof/>
        </w:rPr>
        <w:fldChar w:fldCharType="begin"/>
      </w:r>
      <w:r>
        <w:rPr>
          <w:noProof/>
        </w:rPr>
        <w:instrText xml:space="preserve"> PAGEREF _Toc412485694 \h </w:instrText>
      </w:r>
      <w:r>
        <w:rPr>
          <w:noProof/>
        </w:rPr>
      </w:r>
      <w:r>
        <w:rPr>
          <w:noProof/>
        </w:rPr>
        <w:fldChar w:fldCharType="separate"/>
      </w:r>
      <w:r>
        <w:rPr>
          <w:noProof/>
        </w:rPr>
        <w:t>3</w:t>
      </w:r>
      <w:r>
        <w:rPr>
          <w:noProof/>
        </w:rPr>
        <w:fldChar w:fldCharType="end"/>
      </w:r>
    </w:p>
    <w:p w14:paraId="209ACB4F" w14:textId="77777777" w:rsidR="00D23C6E" w:rsidRPr="00D23C6E" w:rsidRDefault="00D23C6E">
      <w:pPr>
        <w:pStyle w:val="TOC2"/>
        <w:tabs>
          <w:tab w:val="left" w:pos="880"/>
          <w:tab w:val="right" w:leader="dot" w:pos="8290"/>
        </w:tabs>
        <w:rPr>
          <w:b w:val="0"/>
          <w:noProof/>
          <w:lang w:val="en-US" w:eastAsia="fr-CH"/>
        </w:rPr>
      </w:pPr>
      <w:r>
        <w:rPr>
          <w:noProof/>
        </w:rPr>
        <w:t>1.3.</w:t>
      </w:r>
      <w:r w:rsidRPr="00D23C6E">
        <w:rPr>
          <w:b w:val="0"/>
          <w:noProof/>
          <w:lang w:val="en-US" w:eastAsia="fr-CH"/>
        </w:rPr>
        <w:tab/>
      </w:r>
      <w:r>
        <w:rPr>
          <w:noProof/>
        </w:rPr>
        <w:t>Purpose and scope of this strategy</w:t>
      </w:r>
      <w:r>
        <w:rPr>
          <w:noProof/>
        </w:rPr>
        <w:tab/>
      </w:r>
      <w:r>
        <w:rPr>
          <w:noProof/>
        </w:rPr>
        <w:fldChar w:fldCharType="begin"/>
      </w:r>
      <w:r>
        <w:rPr>
          <w:noProof/>
        </w:rPr>
        <w:instrText xml:space="preserve"> PAGEREF _Toc412485695 \h </w:instrText>
      </w:r>
      <w:r>
        <w:rPr>
          <w:noProof/>
        </w:rPr>
      </w:r>
      <w:r>
        <w:rPr>
          <w:noProof/>
        </w:rPr>
        <w:fldChar w:fldCharType="separate"/>
      </w:r>
      <w:r>
        <w:rPr>
          <w:noProof/>
        </w:rPr>
        <w:t>4</w:t>
      </w:r>
      <w:r>
        <w:rPr>
          <w:noProof/>
        </w:rPr>
        <w:fldChar w:fldCharType="end"/>
      </w:r>
    </w:p>
    <w:p w14:paraId="6D7647E6" w14:textId="77777777" w:rsidR="00D23C6E" w:rsidRPr="00D23C6E" w:rsidRDefault="00D23C6E">
      <w:pPr>
        <w:pStyle w:val="TOC1"/>
        <w:tabs>
          <w:tab w:val="right" w:leader="dot" w:pos="8290"/>
        </w:tabs>
        <w:rPr>
          <w:b w:val="0"/>
          <w:noProof/>
          <w:sz w:val="22"/>
          <w:szCs w:val="22"/>
          <w:lang w:val="en-US" w:eastAsia="fr-CH"/>
        </w:rPr>
      </w:pPr>
      <w:r>
        <w:rPr>
          <w:noProof/>
        </w:rPr>
        <w:t>Section 2: Goals and Objectives</w:t>
      </w:r>
      <w:r>
        <w:rPr>
          <w:noProof/>
        </w:rPr>
        <w:tab/>
      </w:r>
      <w:r>
        <w:rPr>
          <w:noProof/>
        </w:rPr>
        <w:fldChar w:fldCharType="begin"/>
      </w:r>
      <w:r>
        <w:rPr>
          <w:noProof/>
        </w:rPr>
        <w:instrText xml:space="preserve"> PAGEREF _Toc412485696 \h </w:instrText>
      </w:r>
      <w:r>
        <w:rPr>
          <w:noProof/>
        </w:rPr>
      </w:r>
      <w:r>
        <w:rPr>
          <w:noProof/>
        </w:rPr>
        <w:fldChar w:fldCharType="separate"/>
      </w:r>
      <w:r>
        <w:rPr>
          <w:noProof/>
        </w:rPr>
        <w:t>5</w:t>
      </w:r>
      <w:r>
        <w:rPr>
          <w:noProof/>
        </w:rPr>
        <w:fldChar w:fldCharType="end"/>
      </w:r>
    </w:p>
    <w:p w14:paraId="6DB13737" w14:textId="77777777" w:rsidR="00D23C6E" w:rsidRPr="00D23C6E" w:rsidRDefault="00D23C6E">
      <w:pPr>
        <w:pStyle w:val="TOC2"/>
        <w:tabs>
          <w:tab w:val="right" w:leader="dot" w:pos="8290"/>
        </w:tabs>
        <w:rPr>
          <w:b w:val="0"/>
          <w:noProof/>
          <w:lang w:val="en-US" w:eastAsia="fr-CH"/>
        </w:rPr>
      </w:pPr>
      <w:r>
        <w:rPr>
          <w:noProof/>
        </w:rPr>
        <w:t>2.1 Goal</w:t>
      </w:r>
      <w:r>
        <w:rPr>
          <w:noProof/>
        </w:rPr>
        <w:tab/>
      </w:r>
      <w:r>
        <w:rPr>
          <w:noProof/>
        </w:rPr>
        <w:fldChar w:fldCharType="begin"/>
      </w:r>
      <w:r>
        <w:rPr>
          <w:noProof/>
        </w:rPr>
        <w:instrText xml:space="preserve"> PAGEREF _Toc412485697 \h </w:instrText>
      </w:r>
      <w:r>
        <w:rPr>
          <w:noProof/>
        </w:rPr>
      </w:r>
      <w:r>
        <w:rPr>
          <w:noProof/>
        </w:rPr>
        <w:fldChar w:fldCharType="separate"/>
      </w:r>
      <w:r>
        <w:rPr>
          <w:noProof/>
        </w:rPr>
        <w:t>5</w:t>
      </w:r>
      <w:r>
        <w:rPr>
          <w:noProof/>
        </w:rPr>
        <w:fldChar w:fldCharType="end"/>
      </w:r>
    </w:p>
    <w:p w14:paraId="42A03224" w14:textId="77777777" w:rsidR="00D23C6E" w:rsidRPr="00D23C6E" w:rsidRDefault="00D23C6E">
      <w:pPr>
        <w:pStyle w:val="TOC2"/>
        <w:tabs>
          <w:tab w:val="right" w:leader="dot" w:pos="8290"/>
        </w:tabs>
        <w:rPr>
          <w:b w:val="0"/>
          <w:noProof/>
          <w:lang w:val="en-US" w:eastAsia="fr-CH"/>
        </w:rPr>
      </w:pPr>
      <w:r>
        <w:rPr>
          <w:noProof/>
        </w:rPr>
        <w:t>2.2 Specific Objectives</w:t>
      </w:r>
      <w:r>
        <w:rPr>
          <w:noProof/>
        </w:rPr>
        <w:tab/>
      </w:r>
      <w:r>
        <w:rPr>
          <w:noProof/>
        </w:rPr>
        <w:fldChar w:fldCharType="begin"/>
      </w:r>
      <w:r>
        <w:rPr>
          <w:noProof/>
        </w:rPr>
        <w:instrText xml:space="preserve"> PAGEREF _Toc412485698 \h </w:instrText>
      </w:r>
      <w:r>
        <w:rPr>
          <w:noProof/>
        </w:rPr>
      </w:r>
      <w:r>
        <w:rPr>
          <w:noProof/>
        </w:rPr>
        <w:fldChar w:fldCharType="separate"/>
      </w:r>
      <w:r>
        <w:rPr>
          <w:noProof/>
        </w:rPr>
        <w:t>5</w:t>
      </w:r>
      <w:r>
        <w:rPr>
          <w:noProof/>
        </w:rPr>
        <w:fldChar w:fldCharType="end"/>
      </w:r>
    </w:p>
    <w:p w14:paraId="16B05DFB" w14:textId="77777777" w:rsidR="00D23C6E" w:rsidRPr="00D23C6E" w:rsidRDefault="00D23C6E">
      <w:pPr>
        <w:pStyle w:val="TOC1"/>
        <w:tabs>
          <w:tab w:val="right" w:leader="dot" w:pos="8290"/>
        </w:tabs>
        <w:rPr>
          <w:b w:val="0"/>
          <w:noProof/>
          <w:sz w:val="22"/>
          <w:szCs w:val="22"/>
          <w:lang w:val="en-US" w:eastAsia="fr-CH"/>
        </w:rPr>
      </w:pPr>
      <w:r>
        <w:rPr>
          <w:noProof/>
        </w:rPr>
        <w:t>Section 3:  National Level Advocacy</w:t>
      </w:r>
      <w:r>
        <w:rPr>
          <w:noProof/>
        </w:rPr>
        <w:tab/>
      </w:r>
      <w:r>
        <w:rPr>
          <w:noProof/>
        </w:rPr>
        <w:fldChar w:fldCharType="begin"/>
      </w:r>
      <w:r>
        <w:rPr>
          <w:noProof/>
        </w:rPr>
        <w:instrText xml:space="preserve"> PAGEREF _Toc412485699 \h </w:instrText>
      </w:r>
      <w:r>
        <w:rPr>
          <w:noProof/>
        </w:rPr>
      </w:r>
      <w:r>
        <w:rPr>
          <w:noProof/>
        </w:rPr>
        <w:fldChar w:fldCharType="separate"/>
      </w:r>
      <w:r>
        <w:rPr>
          <w:noProof/>
        </w:rPr>
        <w:t>6</w:t>
      </w:r>
      <w:r>
        <w:rPr>
          <w:noProof/>
        </w:rPr>
        <w:fldChar w:fldCharType="end"/>
      </w:r>
    </w:p>
    <w:p w14:paraId="071223EE" w14:textId="77777777" w:rsidR="00D23C6E" w:rsidRPr="00D23C6E" w:rsidRDefault="00D23C6E">
      <w:pPr>
        <w:pStyle w:val="TOC2"/>
        <w:tabs>
          <w:tab w:val="right" w:leader="dot" w:pos="8290"/>
        </w:tabs>
        <w:rPr>
          <w:b w:val="0"/>
          <w:noProof/>
          <w:lang w:val="en-US" w:eastAsia="fr-CH"/>
        </w:rPr>
      </w:pPr>
      <w:r>
        <w:rPr>
          <w:noProof/>
        </w:rPr>
        <w:t>3.1 Advocacy with governments</w:t>
      </w:r>
      <w:r>
        <w:rPr>
          <w:noProof/>
        </w:rPr>
        <w:tab/>
      </w:r>
      <w:r>
        <w:rPr>
          <w:noProof/>
        </w:rPr>
        <w:fldChar w:fldCharType="begin"/>
      </w:r>
      <w:r>
        <w:rPr>
          <w:noProof/>
        </w:rPr>
        <w:instrText xml:space="preserve"> PAGEREF _Toc412485700 \h </w:instrText>
      </w:r>
      <w:r>
        <w:rPr>
          <w:noProof/>
        </w:rPr>
      </w:r>
      <w:r>
        <w:rPr>
          <w:noProof/>
        </w:rPr>
        <w:fldChar w:fldCharType="separate"/>
      </w:r>
      <w:r>
        <w:rPr>
          <w:noProof/>
        </w:rPr>
        <w:t>6</w:t>
      </w:r>
      <w:r>
        <w:rPr>
          <w:noProof/>
        </w:rPr>
        <w:fldChar w:fldCharType="end"/>
      </w:r>
    </w:p>
    <w:p w14:paraId="5DF90859" w14:textId="77777777" w:rsidR="00D23C6E" w:rsidRPr="00D23C6E" w:rsidRDefault="00D23C6E">
      <w:pPr>
        <w:pStyle w:val="TOC2"/>
        <w:tabs>
          <w:tab w:val="right" w:leader="dot" w:pos="8290"/>
        </w:tabs>
        <w:rPr>
          <w:b w:val="0"/>
          <w:noProof/>
          <w:lang w:val="en-US" w:eastAsia="fr-CH"/>
        </w:rPr>
      </w:pPr>
      <w:r>
        <w:rPr>
          <w:noProof/>
        </w:rPr>
        <w:t>3.2. Advocacy with non-state armed groups:</w:t>
      </w:r>
      <w:r>
        <w:rPr>
          <w:noProof/>
        </w:rPr>
        <w:tab/>
      </w:r>
      <w:r>
        <w:rPr>
          <w:noProof/>
        </w:rPr>
        <w:fldChar w:fldCharType="begin"/>
      </w:r>
      <w:r>
        <w:rPr>
          <w:noProof/>
        </w:rPr>
        <w:instrText xml:space="preserve"> PAGEREF _Toc412485701 \h </w:instrText>
      </w:r>
      <w:r>
        <w:rPr>
          <w:noProof/>
        </w:rPr>
      </w:r>
      <w:r>
        <w:rPr>
          <w:noProof/>
        </w:rPr>
        <w:fldChar w:fldCharType="separate"/>
      </w:r>
      <w:r>
        <w:rPr>
          <w:noProof/>
        </w:rPr>
        <w:t>7</w:t>
      </w:r>
      <w:r>
        <w:rPr>
          <w:noProof/>
        </w:rPr>
        <w:fldChar w:fldCharType="end"/>
      </w:r>
    </w:p>
    <w:p w14:paraId="35C22296" w14:textId="77777777" w:rsidR="00D23C6E" w:rsidRPr="00D23C6E" w:rsidRDefault="00D23C6E">
      <w:pPr>
        <w:pStyle w:val="TOC2"/>
        <w:tabs>
          <w:tab w:val="right" w:leader="dot" w:pos="8290"/>
        </w:tabs>
        <w:rPr>
          <w:b w:val="0"/>
          <w:noProof/>
          <w:lang w:val="en-US" w:eastAsia="fr-CH"/>
        </w:rPr>
      </w:pPr>
      <w:r>
        <w:rPr>
          <w:noProof/>
        </w:rPr>
        <w:t>3.3. Development of country-specific advocacy plans</w:t>
      </w:r>
      <w:r>
        <w:rPr>
          <w:noProof/>
        </w:rPr>
        <w:tab/>
      </w:r>
      <w:r>
        <w:rPr>
          <w:noProof/>
        </w:rPr>
        <w:fldChar w:fldCharType="begin"/>
      </w:r>
      <w:r>
        <w:rPr>
          <w:noProof/>
        </w:rPr>
        <w:instrText xml:space="preserve"> PAGEREF _Toc412485702 \h </w:instrText>
      </w:r>
      <w:r>
        <w:rPr>
          <w:noProof/>
        </w:rPr>
      </w:r>
      <w:r>
        <w:rPr>
          <w:noProof/>
        </w:rPr>
        <w:fldChar w:fldCharType="separate"/>
      </w:r>
      <w:r>
        <w:rPr>
          <w:noProof/>
        </w:rPr>
        <w:t>9</w:t>
      </w:r>
      <w:r>
        <w:rPr>
          <w:noProof/>
        </w:rPr>
        <w:fldChar w:fldCharType="end"/>
      </w:r>
    </w:p>
    <w:p w14:paraId="73B5AFAD" w14:textId="77777777" w:rsidR="00D23C6E" w:rsidRPr="00D23C6E" w:rsidRDefault="00D23C6E">
      <w:pPr>
        <w:pStyle w:val="TOC1"/>
        <w:tabs>
          <w:tab w:val="right" w:leader="dot" w:pos="8290"/>
        </w:tabs>
        <w:rPr>
          <w:b w:val="0"/>
          <w:noProof/>
          <w:sz w:val="22"/>
          <w:szCs w:val="22"/>
          <w:lang w:val="en-US" w:eastAsia="fr-CH"/>
        </w:rPr>
      </w:pPr>
      <w:r>
        <w:rPr>
          <w:noProof/>
        </w:rPr>
        <w:t>Section 4: Global and Regional Advocacy</w:t>
      </w:r>
      <w:r>
        <w:rPr>
          <w:noProof/>
        </w:rPr>
        <w:tab/>
      </w:r>
      <w:r>
        <w:rPr>
          <w:noProof/>
        </w:rPr>
        <w:fldChar w:fldCharType="begin"/>
      </w:r>
      <w:r>
        <w:rPr>
          <w:noProof/>
        </w:rPr>
        <w:instrText xml:space="preserve"> PAGEREF _Toc412485703 \h </w:instrText>
      </w:r>
      <w:r>
        <w:rPr>
          <w:noProof/>
        </w:rPr>
      </w:r>
      <w:r>
        <w:rPr>
          <w:noProof/>
        </w:rPr>
        <w:fldChar w:fldCharType="separate"/>
      </w:r>
      <w:r>
        <w:rPr>
          <w:noProof/>
        </w:rPr>
        <w:t>10</w:t>
      </w:r>
      <w:r>
        <w:rPr>
          <w:noProof/>
        </w:rPr>
        <w:fldChar w:fldCharType="end"/>
      </w:r>
    </w:p>
    <w:p w14:paraId="1C21823A" w14:textId="77777777" w:rsidR="00D23C6E" w:rsidRPr="00D23C6E" w:rsidRDefault="00D23C6E">
      <w:pPr>
        <w:pStyle w:val="TOC2"/>
        <w:tabs>
          <w:tab w:val="right" w:leader="dot" w:pos="8290"/>
        </w:tabs>
        <w:rPr>
          <w:b w:val="0"/>
          <w:noProof/>
          <w:lang w:val="en-US" w:eastAsia="fr-CH"/>
        </w:rPr>
      </w:pPr>
      <w:r>
        <w:rPr>
          <w:noProof/>
        </w:rPr>
        <w:t>4.1: Targets and Timeline for Specific Objective 7</w:t>
      </w:r>
      <w:r>
        <w:rPr>
          <w:noProof/>
        </w:rPr>
        <w:tab/>
      </w:r>
      <w:r>
        <w:rPr>
          <w:noProof/>
        </w:rPr>
        <w:fldChar w:fldCharType="begin"/>
      </w:r>
      <w:r>
        <w:rPr>
          <w:noProof/>
        </w:rPr>
        <w:instrText xml:space="preserve"> PAGEREF _Toc412485704 \h </w:instrText>
      </w:r>
      <w:r>
        <w:rPr>
          <w:noProof/>
        </w:rPr>
      </w:r>
      <w:r>
        <w:rPr>
          <w:noProof/>
        </w:rPr>
        <w:fldChar w:fldCharType="separate"/>
      </w:r>
      <w:r>
        <w:rPr>
          <w:noProof/>
        </w:rPr>
        <w:t>10</w:t>
      </w:r>
      <w:r>
        <w:rPr>
          <w:noProof/>
        </w:rPr>
        <w:fldChar w:fldCharType="end"/>
      </w:r>
    </w:p>
    <w:p w14:paraId="4C8DA0A5" w14:textId="77777777" w:rsidR="00D23C6E" w:rsidRPr="00D23C6E" w:rsidRDefault="00D23C6E">
      <w:pPr>
        <w:pStyle w:val="TOC2"/>
        <w:tabs>
          <w:tab w:val="right" w:leader="dot" w:pos="8290"/>
        </w:tabs>
        <w:rPr>
          <w:b w:val="0"/>
          <w:noProof/>
          <w:lang w:val="en-US" w:eastAsia="fr-CH"/>
        </w:rPr>
      </w:pPr>
      <w:r>
        <w:rPr>
          <w:noProof/>
        </w:rPr>
        <w:t>4.2: Building Momentum and Support with Key Global and Regional Stakeholders</w:t>
      </w:r>
      <w:r>
        <w:rPr>
          <w:noProof/>
        </w:rPr>
        <w:tab/>
      </w:r>
      <w:r>
        <w:rPr>
          <w:noProof/>
        </w:rPr>
        <w:fldChar w:fldCharType="begin"/>
      </w:r>
      <w:r>
        <w:rPr>
          <w:noProof/>
        </w:rPr>
        <w:instrText xml:space="preserve"> PAGEREF _Toc412485705 \h </w:instrText>
      </w:r>
      <w:r>
        <w:rPr>
          <w:noProof/>
        </w:rPr>
      </w:r>
      <w:r>
        <w:rPr>
          <w:noProof/>
        </w:rPr>
        <w:fldChar w:fldCharType="separate"/>
      </w:r>
      <w:r>
        <w:rPr>
          <w:noProof/>
        </w:rPr>
        <w:t>11</w:t>
      </w:r>
      <w:r>
        <w:rPr>
          <w:noProof/>
        </w:rPr>
        <w:fldChar w:fldCharType="end"/>
      </w:r>
    </w:p>
    <w:p w14:paraId="7058AEE8" w14:textId="77777777" w:rsidR="00D23C6E" w:rsidRPr="00D23C6E" w:rsidRDefault="00D23C6E">
      <w:pPr>
        <w:pStyle w:val="TOC1"/>
        <w:tabs>
          <w:tab w:val="right" w:leader="dot" w:pos="8290"/>
        </w:tabs>
        <w:rPr>
          <w:b w:val="0"/>
          <w:noProof/>
          <w:sz w:val="22"/>
          <w:szCs w:val="22"/>
          <w:lang w:val="en-US" w:eastAsia="fr-CH"/>
        </w:rPr>
      </w:pPr>
      <w:r>
        <w:rPr>
          <w:noProof/>
        </w:rPr>
        <w:t>Section 5: Coordination and technical assistance</w:t>
      </w:r>
      <w:r>
        <w:rPr>
          <w:noProof/>
        </w:rPr>
        <w:tab/>
      </w:r>
      <w:r>
        <w:rPr>
          <w:noProof/>
        </w:rPr>
        <w:fldChar w:fldCharType="begin"/>
      </w:r>
      <w:r>
        <w:rPr>
          <w:noProof/>
        </w:rPr>
        <w:instrText xml:space="preserve"> PAGEREF _Toc412485706 \h </w:instrText>
      </w:r>
      <w:r>
        <w:rPr>
          <w:noProof/>
        </w:rPr>
      </w:r>
      <w:r>
        <w:rPr>
          <w:noProof/>
        </w:rPr>
        <w:fldChar w:fldCharType="separate"/>
      </w:r>
      <w:r>
        <w:rPr>
          <w:noProof/>
        </w:rPr>
        <w:t>14</w:t>
      </w:r>
      <w:r>
        <w:rPr>
          <w:noProof/>
        </w:rPr>
        <w:fldChar w:fldCharType="end"/>
      </w:r>
    </w:p>
    <w:p w14:paraId="153AF9BD" w14:textId="77777777" w:rsidR="00D23C6E" w:rsidRPr="00D23C6E" w:rsidRDefault="00D23C6E">
      <w:pPr>
        <w:pStyle w:val="TOC2"/>
        <w:tabs>
          <w:tab w:val="right" w:leader="dot" w:pos="8290"/>
        </w:tabs>
        <w:rPr>
          <w:b w:val="0"/>
          <w:noProof/>
          <w:lang w:val="en-US" w:eastAsia="fr-CH"/>
        </w:rPr>
      </w:pPr>
      <w:r>
        <w:rPr>
          <w:noProof/>
        </w:rPr>
        <w:t>5.1. Roles and communication flow</w:t>
      </w:r>
      <w:r>
        <w:rPr>
          <w:noProof/>
        </w:rPr>
        <w:tab/>
      </w:r>
      <w:r>
        <w:rPr>
          <w:noProof/>
        </w:rPr>
        <w:fldChar w:fldCharType="begin"/>
      </w:r>
      <w:r>
        <w:rPr>
          <w:noProof/>
        </w:rPr>
        <w:instrText xml:space="preserve"> PAGEREF _Toc412485707 \h </w:instrText>
      </w:r>
      <w:r>
        <w:rPr>
          <w:noProof/>
        </w:rPr>
      </w:r>
      <w:r>
        <w:rPr>
          <w:noProof/>
        </w:rPr>
        <w:fldChar w:fldCharType="separate"/>
      </w:r>
      <w:r>
        <w:rPr>
          <w:noProof/>
        </w:rPr>
        <w:t>14</w:t>
      </w:r>
      <w:r>
        <w:rPr>
          <w:noProof/>
        </w:rPr>
        <w:fldChar w:fldCharType="end"/>
      </w:r>
    </w:p>
    <w:p w14:paraId="128B7A17" w14:textId="77777777" w:rsidR="00D23C6E" w:rsidRPr="00D23C6E" w:rsidRDefault="00D23C6E">
      <w:pPr>
        <w:pStyle w:val="TOC2"/>
        <w:tabs>
          <w:tab w:val="right" w:leader="dot" w:pos="8290"/>
        </w:tabs>
        <w:rPr>
          <w:b w:val="0"/>
          <w:noProof/>
          <w:lang w:val="en-US" w:eastAsia="fr-CH"/>
        </w:rPr>
      </w:pPr>
      <w:r w:rsidRPr="00005162">
        <w:rPr>
          <w:noProof/>
          <w:lang w:val="en-US"/>
        </w:rPr>
        <w:t>5.2. Resource pack</w:t>
      </w:r>
      <w:r>
        <w:rPr>
          <w:noProof/>
        </w:rPr>
        <w:tab/>
      </w:r>
      <w:r>
        <w:rPr>
          <w:noProof/>
        </w:rPr>
        <w:fldChar w:fldCharType="begin"/>
      </w:r>
      <w:r>
        <w:rPr>
          <w:noProof/>
        </w:rPr>
        <w:instrText xml:space="preserve"> PAGEREF _Toc412485708 \h </w:instrText>
      </w:r>
      <w:r>
        <w:rPr>
          <w:noProof/>
        </w:rPr>
      </w:r>
      <w:r>
        <w:rPr>
          <w:noProof/>
        </w:rPr>
        <w:fldChar w:fldCharType="separate"/>
      </w:r>
      <w:r>
        <w:rPr>
          <w:noProof/>
        </w:rPr>
        <w:t>15</w:t>
      </w:r>
      <w:r>
        <w:rPr>
          <w:noProof/>
        </w:rPr>
        <w:fldChar w:fldCharType="end"/>
      </w:r>
    </w:p>
    <w:p w14:paraId="0BD78133" w14:textId="77777777" w:rsidR="00D23C6E" w:rsidRPr="00D23C6E" w:rsidRDefault="00D23C6E">
      <w:pPr>
        <w:pStyle w:val="TOC1"/>
        <w:tabs>
          <w:tab w:val="right" w:leader="dot" w:pos="8290"/>
        </w:tabs>
        <w:rPr>
          <w:b w:val="0"/>
          <w:noProof/>
          <w:sz w:val="22"/>
          <w:szCs w:val="22"/>
          <w:lang w:val="en-US" w:eastAsia="fr-CH"/>
        </w:rPr>
      </w:pPr>
      <w:r>
        <w:rPr>
          <w:noProof/>
        </w:rPr>
        <w:t>Appendices:</w:t>
      </w:r>
      <w:r>
        <w:rPr>
          <w:noProof/>
        </w:rPr>
        <w:tab/>
      </w:r>
      <w:r>
        <w:rPr>
          <w:noProof/>
        </w:rPr>
        <w:fldChar w:fldCharType="begin"/>
      </w:r>
      <w:r>
        <w:rPr>
          <w:noProof/>
        </w:rPr>
        <w:instrText xml:space="preserve"> PAGEREF _Toc412485709 \h </w:instrText>
      </w:r>
      <w:r>
        <w:rPr>
          <w:noProof/>
        </w:rPr>
      </w:r>
      <w:r>
        <w:rPr>
          <w:noProof/>
        </w:rPr>
        <w:fldChar w:fldCharType="separate"/>
      </w:r>
      <w:r>
        <w:rPr>
          <w:noProof/>
        </w:rPr>
        <w:t>15</w:t>
      </w:r>
      <w:r>
        <w:rPr>
          <w:noProof/>
        </w:rPr>
        <w:fldChar w:fldCharType="end"/>
      </w:r>
    </w:p>
    <w:p w14:paraId="658447E2" w14:textId="77777777" w:rsidR="00D23C6E" w:rsidRPr="00D23C6E" w:rsidRDefault="00D23C6E">
      <w:pPr>
        <w:pStyle w:val="TOC2"/>
        <w:tabs>
          <w:tab w:val="right" w:leader="dot" w:pos="8290"/>
        </w:tabs>
        <w:rPr>
          <w:b w:val="0"/>
          <w:noProof/>
          <w:lang w:val="en-US" w:eastAsia="fr-CH"/>
        </w:rPr>
      </w:pPr>
      <w:r w:rsidRPr="00005162">
        <w:rPr>
          <w:noProof/>
          <w:lang w:val="en-US"/>
        </w:rPr>
        <w:t>Appendix A: Calendar of advocacy opportunities</w:t>
      </w:r>
      <w:r>
        <w:rPr>
          <w:noProof/>
        </w:rPr>
        <w:tab/>
      </w:r>
      <w:r>
        <w:rPr>
          <w:noProof/>
        </w:rPr>
        <w:fldChar w:fldCharType="begin"/>
      </w:r>
      <w:r>
        <w:rPr>
          <w:noProof/>
        </w:rPr>
        <w:instrText xml:space="preserve"> PAGEREF _Toc412485710 \h </w:instrText>
      </w:r>
      <w:r>
        <w:rPr>
          <w:noProof/>
        </w:rPr>
      </w:r>
      <w:r>
        <w:rPr>
          <w:noProof/>
        </w:rPr>
        <w:fldChar w:fldCharType="separate"/>
      </w:r>
      <w:r>
        <w:rPr>
          <w:noProof/>
        </w:rPr>
        <w:t>15</w:t>
      </w:r>
      <w:r>
        <w:rPr>
          <w:noProof/>
        </w:rPr>
        <w:fldChar w:fldCharType="end"/>
      </w:r>
    </w:p>
    <w:p w14:paraId="1EC69873" w14:textId="77777777" w:rsidR="00D23C6E" w:rsidRPr="00D23C6E" w:rsidRDefault="00D23C6E">
      <w:pPr>
        <w:pStyle w:val="TOC2"/>
        <w:tabs>
          <w:tab w:val="right" w:leader="dot" w:pos="8290"/>
        </w:tabs>
        <w:rPr>
          <w:b w:val="0"/>
          <w:noProof/>
          <w:lang w:val="en-US" w:eastAsia="fr-CH"/>
        </w:rPr>
      </w:pPr>
      <w:r w:rsidRPr="00005162">
        <w:rPr>
          <w:noProof/>
          <w:lang w:val="en-US"/>
        </w:rPr>
        <w:t>Appendix B: Country focal point allocation</w:t>
      </w:r>
      <w:r>
        <w:rPr>
          <w:noProof/>
        </w:rPr>
        <w:tab/>
      </w:r>
      <w:r>
        <w:rPr>
          <w:noProof/>
        </w:rPr>
        <w:fldChar w:fldCharType="begin"/>
      </w:r>
      <w:r>
        <w:rPr>
          <w:noProof/>
        </w:rPr>
        <w:instrText xml:space="preserve"> PAGEREF _Toc412485711 \h </w:instrText>
      </w:r>
      <w:r>
        <w:rPr>
          <w:noProof/>
        </w:rPr>
      </w:r>
      <w:r>
        <w:rPr>
          <w:noProof/>
        </w:rPr>
        <w:fldChar w:fldCharType="separate"/>
      </w:r>
      <w:r>
        <w:rPr>
          <w:noProof/>
        </w:rPr>
        <w:t>15</w:t>
      </w:r>
      <w:r>
        <w:rPr>
          <w:noProof/>
        </w:rPr>
        <w:fldChar w:fldCharType="end"/>
      </w:r>
    </w:p>
    <w:p w14:paraId="43D3241B" w14:textId="77777777" w:rsidR="00D23C6E" w:rsidRDefault="00D23C6E">
      <w:pPr>
        <w:pStyle w:val="TOC2"/>
        <w:tabs>
          <w:tab w:val="right" w:leader="dot" w:pos="8290"/>
        </w:tabs>
        <w:rPr>
          <w:b w:val="0"/>
          <w:noProof/>
          <w:lang w:val="fr-CH" w:eastAsia="fr-CH"/>
        </w:rPr>
      </w:pPr>
      <w:r w:rsidRPr="00005162">
        <w:rPr>
          <w:noProof/>
          <w:lang w:val="en-US"/>
        </w:rPr>
        <w:t>Appendix C: Contact list for national education coalitions</w:t>
      </w:r>
      <w:r>
        <w:rPr>
          <w:noProof/>
        </w:rPr>
        <w:tab/>
      </w:r>
      <w:r>
        <w:rPr>
          <w:noProof/>
        </w:rPr>
        <w:fldChar w:fldCharType="begin"/>
      </w:r>
      <w:r>
        <w:rPr>
          <w:noProof/>
        </w:rPr>
        <w:instrText xml:space="preserve"> PAGEREF _Toc412485712 \h </w:instrText>
      </w:r>
      <w:r>
        <w:rPr>
          <w:noProof/>
        </w:rPr>
      </w:r>
      <w:r>
        <w:rPr>
          <w:noProof/>
        </w:rPr>
        <w:fldChar w:fldCharType="separate"/>
      </w:r>
      <w:r>
        <w:rPr>
          <w:noProof/>
        </w:rPr>
        <w:t>15</w:t>
      </w:r>
      <w:r>
        <w:rPr>
          <w:noProof/>
        </w:rPr>
        <w:fldChar w:fldCharType="end"/>
      </w:r>
    </w:p>
    <w:p w14:paraId="6B02BC26" w14:textId="77777777" w:rsidR="0015324C" w:rsidRPr="00B95C6C" w:rsidRDefault="0015324C" w:rsidP="00A20EFB">
      <w:pPr>
        <w:spacing w:after="0"/>
        <w:jc w:val="both"/>
        <w:rPr>
          <w:b/>
          <w:sz w:val="22"/>
          <w:szCs w:val="22"/>
        </w:rPr>
      </w:pPr>
      <w:r w:rsidRPr="00950AE0">
        <w:rPr>
          <w:sz w:val="22"/>
          <w:szCs w:val="22"/>
        </w:rPr>
        <w:fldChar w:fldCharType="end"/>
      </w:r>
    </w:p>
    <w:p w14:paraId="62F8E128" w14:textId="77777777" w:rsidR="0015324C" w:rsidRPr="00B95C6C" w:rsidRDefault="0015324C" w:rsidP="00A20EFB">
      <w:pPr>
        <w:spacing w:after="0"/>
        <w:jc w:val="both"/>
        <w:rPr>
          <w:b/>
          <w:sz w:val="22"/>
          <w:szCs w:val="22"/>
        </w:rPr>
      </w:pPr>
    </w:p>
    <w:p w14:paraId="00E2B658" w14:textId="77777777" w:rsidR="0015324C" w:rsidRPr="00B95C6C" w:rsidRDefault="0015324C" w:rsidP="00A20EFB">
      <w:pPr>
        <w:spacing w:after="0"/>
        <w:jc w:val="both"/>
        <w:rPr>
          <w:b/>
          <w:sz w:val="22"/>
          <w:szCs w:val="22"/>
        </w:rPr>
      </w:pPr>
      <w:r w:rsidRPr="00B95C6C">
        <w:rPr>
          <w:b/>
          <w:sz w:val="22"/>
          <w:szCs w:val="22"/>
        </w:rPr>
        <w:br w:type="page"/>
      </w:r>
    </w:p>
    <w:p w14:paraId="1479F648" w14:textId="77777777" w:rsidR="0015324C" w:rsidRDefault="0015324C" w:rsidP="00A20EFB">
      <w:pPr>
        <w:pStyle w:val="Heading1"/>
        <w:spacing w:before="0"/>
      </w:pPr>
      <w:bookmarkStart w:id="0" w:name="_Toc412485692"/>
      <w:r w:rsidRPr="00B95C6C">
        <w:lastRenderedPageBreak/>
        <w:t>Section 1: Introduction</w:t>
      </w:r>
      <w:bookmarkEnd w:id="0"/>
      <w:r w:rsidRPr="00B95C6C">
        <w:t xml:space="preserve"> </w:t>
      </w:r>
    </w:p>
    <w:p w14:paraId="40CB54C0" w14:textId="77777777" w:rsidR="00AC0DDF" w:rsidRDefault="00AC0DDF" w:rsidP="00A20EFB">
      <w:pPr>
        <w:spacing w:after="0"/>
      </w:pPr>
    </w:p>
    <w:p w14:paraId="537F31F9" w14:textId="0CFA14E2" w:rsidR="00AC0DDF" w:rsidRDefault="00AC0DDF" w:rsidP="00A9649E">
      <w:pPr>
        <w:pStyle w:val="Heading2"/>
        <w:numPr>
          <w:ilvl w:val="1"/>
          <w:numId w:val="9"/>
        </w:numPr>
        <w:spacing w:before="0"/>
      </w:pPr>
      <w:bookmarkStart w:id="1" w:name="_Toc412485693"/>
      <w:r>
        <w:t>The problem of military use of schools during armed conflict</w:t>
      </w:r>
      <w:bookmarkEnd w:id="1"/>
    </w:p>
    <w:p w14:paraId="419A2617" w14:textId="77777777" w:rsidR="00AC0DDF" w:rsidRDefault="00AC0DDF" w:rsidP="00A20EFB">
      <w:pPr>
        <w:spacing w:after="0"/>
        <w:rPr>
          <w:sz w:val="22"/>
          <w:szCs w:val="22"/>
        </w:rPr>
      </w:pPr>
    </w:p>
    <w:p w14:paraId="5FA9F747" w14:textId="77777777" w:rsidR="00AC0DDF" w:rsidRDefault="00AC0DDF" w:rsidP="00A20EFB">
      <w:pPr>
        <w:spacing w:after="0"/>
        <w:jc w:val="both"/>
        <w:rPr>
          <w:sz w:val="22"/>
          <w:szCs w:val="22"/>
          <w:lang w:val="en-US"/>
        </w:rPr>
      </w:pPr>
      <w:r w:rsidRPr="000A7F78">
        <w:rPr>
          <w:sz w:val="22"/>
          <w:szCs w:val="22"/>
          <w:lang w:val="en-US"/>
        </w:rPr>
        <w:t>Schools and universities have been used for military purposes during armed conflict in at least 25 countries experiencing conflict between 2005 and 2014</w:t>
      </w:r>
      <w:r w:rsidRPr="000A7F78">
        <w:rPr>
          <w:sz w:val="22"/>
          <w:szCs w:val="22"/>
        </w:rPr>
        <w:footnoteReference w:id="1"/>
      </w:r>
      <w:r w:rsidRPr="000A7F78">
        <w:rPr>
          <w:sz w:val="22"/>
          <w:szCs w:val="22"/>
          <w:lang w:val="en-US"/>
        </w:rPr>
        <w:t>. During times of armed conflict, the military use of schools and universities can compromise their civilian status, transforming places of learning into lawful military targets, potentially placing students and staff at risk of retaliatory action. The presence of armed actors on school grounds also increases the likelihood of recruitment or use of children for combat or support roles and it disproportionately affects girls and young women, as it also exposes them to sexual violence and harassment. Damage or destruction of buildings, displacement of teachers and students and protection concerns can result in school drop-out and disrupt access to education for prolonged periods. This not only exacerbates the psychosocial toll that conflict has on children and youth, but also hampers post-conflict reconstruction and the prospects of a durable peace.</w:t>
      </w:r>
    </w:p>
    <w:p w14:paraId="4AE1A445" w14:textId="77777777" w:rsidR="00A20EFB" w:rsidRPr="000A7F78" w:rsidRDefault="00A20EFB" w:rsidP="00A20EFB">
      <w:pPr>
        <w:spacing w:after="0"/>
        <w:jc w:val="both"/>
        <w:rPr>
          <w:sz w:val="22"/>
          <w:szCs w:val="22"/>
          <w:lang w:val="en-US"/>
        </w:rPr>
      </w:pPr>
    </w:p>
    <w:p w14:paraId="502ECED7" w14:textId="3C135CD6" w:rsidR="00AC0DDF" w:rsidRPr="00AC0DDF" w:rsidRDefault="00AC0DDF" w:rsidP="00A9649E">
      <w:pPr>
        <w:pStyle w:val="Heading2"/>
        <w:numPr>
          <w:ilvl w:val="1"/>
          <w:numId w:val="9"/>
        </w:numPr>
        <w:spacing w:before="0"/>
      </w:pPr>
      <w:bookmarkStart w:id="2" w:name="_Toc412485694"/>
      <w:r w:rsidRPr="00AC0DDF">
        <w:t>The Guidelines for Protecting Schools and Universities from Military Use during Armed Conflict</w:t>
      </w:r>
      <w:bookmarkEnd w:id="2"/>
      <w:r w:rsidRPr="00AC0DDF">
        <w:t xml:space="preserve"> </w:t>
      </w:r>
    </w:p>
    <w:p w14:paraId="4DDD5961" w14:textId="77777777" w:rsidR="00AC0DDF" w:rsidRDefault="00AC0DDF" w:rsidP="00A20EFB">
      <w:pPr>
        <w:spacing w:after="0"/>
        <w:jc w:val="both"/>
        <w:rPr>
          <w:sz w:val="22"/>
          <w:szCs w:val="22"/>
        </w:rPr>
      </w:pPr>
    </w:p>
    <w:p w14:paraId="2A5841FF" w14:textId="630DF995" w:rsidR="000A7F78" w:rsidRDefault="00AC0DDF" w:rsidP="00A20EFB">
      <w:pPr>
        <w:spacing w:after="0"/>
        <w:jc w:val="both"/>
        <w:rPr>
          <w:sz w:val="22"/>
          <w:szCs w:val="22"/>
        </w:rPr>
      </w:pPr>
      <w:r w:rsidRPr="000A7F78">
        <w:rPr>
          <w:sz w:val="22"/>
          <w:szCs w:val="22"/>
          <w:lang w:val="en-US"/>
        </w:rPr>
        <w:t xml:space="preserve">The </w:t>
      </w:r>
      <w:hyperlink r:id="rId9" w:history="1">
        <w:r w:rsidR="001A3367" w:rsidRPr="000A7F78">
          <w:rPr>
            <w:rStyle w:val="Emphasis"/>
            <w:color w:val="F06731"/>
            <w:sz w:val="22"/>
            <w:szCs w:val="22"/>
            <w:u w:val="single"/>
          </w:rPr>
          <w:t>Guidelines for Protecting Schools and Universities from Military Use during Armed Conflict</w:t>
        </w:r>
      </w:hyperlink>
      <w:r w:rsidR="000A7F78">
        <w:rPr>
          <w:sz w:val="22"/>
          <w:szCs w:val="22"/>
          <w:lang w:val="en-US"/>
        </w:rPr>
        <w:t xml:space="preserve">, </w:t>
      </w:r>
      <w:r w:rsidRPr="000A7F78">
        <w:rPr>
          <w:sz w:val="22"/>
          <w:szCs w:val="22"/>
          <w:lang w:val="en-US"/>
        </w:rPr>
        <w:t xml:space="preserve">formerly known </w:t>
      </w:r>
      <w:r w:rsidR="000A7F78">
        <w:rPr>
          <w:sz w:val="22"/>
          <w:szCs w:val="22"/>
          <w:lang w:val="en-US"/>
        </w:rPr>
        <w:t>as “</w:t>
      </w:r>
      <w:proofErr w:type="spellStart"/>
      <w:r w:rsidR="000A7F78">
        <w:rPr>
          <w:sz w:val="22"/>
          <w:szCs w:val="22"/>
          <w:lang w:val="en-US"/>
        </w:rPr>
        <w:t>Lucens</w:t>
      </w:r>
      <w:proofErr w:type="spellEnd"/>
      <w:r w:rsidR="000A7F78">
        <w:rPr>
          <w:sz w:val="22"/>
          <w:szCs w:val="22"/>
          <w:lang w:val="en-US"/>
        </w:rPr>
        <w:t xml:space="preserve"> Guidelines”,</w:t>
      </w:r>
      <w:r w:rsidRPr="000A7F78">
        <w:rPr>
          <w:i/>
          <w:sz w:val="22"/>
          <w:szCs w:val="22"/>
          <w:lang w:val="en-US"/>
        </w:rPr>
        <w:t xml:space="preserve"> </w:t>
      </w:r>
      <w:r w:rsidR="000A7F78" w:rsidRPr="00B95C6C">
        <w:rPr>
          <w:sz w:val="22"/>
          <w:szCs w:val="22"/>
        </w:rPr>
        <w:t xml:space="preserve">(hereafter referred to as the </w:t>
      </w:r>
      <w:r w:rsidR="000A7F78" w:rsidRPr="00B95C6C">
        <w:rPr>
          <w:i/>
          <w:sz w:val="22"/>
          <w:szCs w:val="22"/>
        </w:rPr>
        <w:t>Guidelines</w:t>
      </w:r>
      <w:r w:rsidR="000A7F78" w:rsidRPr="00B95C6C">
        <w:rPr>
          <w:sz w:val="22"/>
          <w:szCs w:val="22"/>
        </w:rPr>
        <w:t>)</w:t>
      </w:r>
      <w:r w:rsidR="000A7F78">
        <w:rPr>
          <w:sz w:val="22"/>
          <w:szCs w:val="22"/>
        </w:rPr>
        <w:t xml:space="preserve"> </w:t>
      </w:r>
      <w:r w:rsidRPr="000A7F78">
        <w:rPr>
          <w:sz w:val="22"/>
          <w:szCs w:val="22"/>
          <w:lang w:val="en-US"/>
        </w:rPr>
        <w:t xml:space="preserve">were developed over several years of discussions involving governments, armed forces, civil society actors and international organizations. The process was spearheaded by GCPEA, following the launch of its </w:t>
      </w:r>
      <w:r w:rsidRPr="000A7F78">
        <w:rPr>
          <w:sz w:val="22"/>
          <w:szCs w:val="22"/>
        </w:rPr>
        <w:t xml:space="preserve">report </w:t>
      </w:r>
      <w:hyperlink r:id="rId10" w:history="1">
        <w:r w:rsidRPr="000A7F78">
          <w:rPr>
            <w:rStyle w:val="Hyperlink"/>
            <w:i/>
            <w:sz w:val="22"/>
            <w:szCs w:val="22"/>
          </w:rPr>
          <w:t>Lessons in War:</w:t>
        </w:r>
        <w:r w:rsidRPr="000A7F78">
          <w:rPr>
            <w:rStyle w:val="Hyperlink"/>
            <w:sz w:val="22"/>
            <w:szCs w:val="22"/>
          </w:rPr>
          <w:t xml:space="preserve"> </w:t>
        </w:r>
        <w:r w:rsidRPr="000A7F78">
          <w:rPr>
            <w:rStyle w:val="Hyperlink"/>
            <w:i/>
            <w:sz w:val="22"/>
            <w:szCs w:val="22"/>
          </w:rPr>
          <w:t>Military Use of Schools and Other Education Institutions during Conflict</w:t>
        </w:r>
      </w:hyperlink>
      <w:r w:rsidRPr="000A7F78">
        <w:rPr>
          <w:i/>
          <w:sz w:val="22"/>
          <w:szCs w:val="22"/>
        </w:rPr>
        <w:t>,</w:t>
      </w:r>
      <w:r w:rsidRPr="000A7F78">
        <w:rPr>
          <w:sz w:val="22"/>
          <w:szCs w:val="22"/>
        </w:rPr>
        <w:t xml:space="preserve"> in 2012. In June 2014, the Norwegian government announced its commitment to lead </w:t>
      </w:r>
      <w:r w:rsidR="000A7F78">
        <w:rPr>
          <w:sz w:val="22"/>
          <w:szCs w:val="22"/>
        </w:rPr>
        <w:t>s</w:t>
      </w:r>
      <w:r w:rsidRPr="000A7F78">
        <w:rPr>
          <w:sz w:val="22"/>
          <w:szCs w:val="22"/>
        </w:rPr>
        <w:t>tates in finalizing, endorsing, and implementing the Guidelines. On December 16, 2014, the final </w:t>
      </w:r>
      <w:r w:rsidR="000A7F78" w:rsidRPr="000A7F78">
        <w:rPr>
          <w:i/>
          <w:sz w:val="22"/>
          <w:szCs w:val="22"/>
        </w:rPr>
        <w:t>Guidelines</w:t>
      </w:r>
      <w:r w:rsidRPr="000A7F78">
        <w:rPr>
          <w:sz w:val="22"/>
          <w:szCs w:val="22"/>
        </w:rPr>
        <w:t xml:space="preserve"> were unveiled at a meeting hosted by the Missions of Norway and Argentina at the UN in Geneva. At this meeting, Norway and Argentina also initiated discussions on the idea of a </w:t>
      </w:r>
      <w:r w:rsidR="000A7F78" w:rsidRPr="000A7F78">
        <w:rPr>
          <w:sz w:val="22"/>
          <w:szCs w:val="22"/>
        </w:rPr>
        <w:t>“</w:t>
      </w:r>
      <w:r w:rsidRPr="000A7F78">
        <w:rPr>
          <w:b/>
          <w:sz w:val="22"/>
          <w:szCs w:val="22"/>
        </w:rPr>
        <w:t>Safe Schools Declaration</w:t>
      </w:r>
      <w:r w:rsidR="000A7F78" w:rsidRPr="000A7F78">
        <w:rPr>
          <w:sz w:val="22"/>
          <w:szCs w:val="22"/>
        </w:rPr>
        <w:t>”</w:t>
      </w:r>
      <w:r w:rsidRPr="000A7F78">
        <w:rPr>
          <w:sz w:val="22"/>
          <w:szCs w:val="22"/>
        </w:rPr>
        <w:t xml:space="preserve">, which would place the Guidelines in a broader thematic framework and constitute the </w:t>
      </w:r>
      <w:r w:rsidR="001A3367" w:rsidRPr="000A7F78">
        <w:rPr>
          <w:sz w:val="22"/>
          <w:szCs w:val="22"/>
        </w:rPr>
        <w:t xml:space="preserve">formal </w:t>
      </w:r>
      <w:r w:rsidRPr="000A7F78">
        <w:rPr>
          <w:sz w:val="22"/>
          <w:szCs w:val="22"/>
        </w:rPr>
        <w:t xml:space="preserve">basis for </w:t>
      </w:r>
      <w:r w:rsidR="001A3367" w:rsidRPr="000A7F78">
        <w:rPr>
          <w:sz w:val="22"/>
          <w:szCs w:val="22"/>
        </w:rPr>
        <w:t xml:space="preserve">states to endorse and commit to implement the Guidelines. The Declaration </w:t>
      </w:r>
      <w:r w:rsidR="00D22E55">
        <w:rPr>
          <w:sz w:val="22"/>
          <w:szCs w:val="22"/>
        </w:rPr>
        <w:t>is being negotiated in Geneva under the leadership of Norway and Argentina and the support of a core group of interested states</w:t>
      </w:r>
      <w:r w:rsidR="00D22E55">
        <w:rPr>
          <w:rStyle w:val="FootnoteReference"/>
          <w:sz w:val="22"/>
          <w:szCs w:val="22"/>
        </w:rPr>
        <w:footnoteReference w:id="2"/>
      </w:r>
      <w:r w:rsidR="00D22E55">
        <w:rPr>
          <w:sz w:val="22"/>
          <w:szCs w:val="22"/>
        </w:rPr>
        <w:t xml:space="preserve"> and </w:t>
      </w:r>
      <w:r w:rsidR="001A3367" w:rsidRPr="000A7F78">
        <w:rPr>
          <w:sz w:val="22"/>
          <w:szCs w:val="22"/>
        </w:rPr>
        <w:t xml:space="preserve">will be adopted at an international conference planned for mid-2015. In the meantime, and in support of these consultations, states are encouraged to start </w:t>
      </w:r>
      <w:proofErr w:type="spellStart"/>
      <w:r w:rsidR="001A3367" w:rsidRPr="000A7F78">
        <w:rPr>
          <w:sz w:val="22"/>
          <w:szCs w:val="22"/>
        </w:rPr>
        <w:t>analyzing</w:t>
      </w:r>
      <w:proofErr w:type="spellEnd"/>
      <w:r w:rsidR="001A3367" w:rsidRPr="000A7F78">
        <w:rPr>
          <w:sz w:val="22"/>
          <w:szCs w:val="22"/>
        </w:rPr>
        <w:t xml:space="preserve"> relevant domestic policies and military doctrine to enhance the protection of educational facilities from military use during armed conflict.</w:t>
      </w:r>
      <w:r w:rsidR="000A7F78" w:rsidRPr="000A7F78">
        <w:rPr>
          <w:sz w:val="22"/>
          <w:szCs w:val="22"/>
        </w:rPr>
        <w:t xml:space="preserve"> </w:t>
      </w:r>
      <w:r w:rsidR="000A7F78">
        <w:rPr>
          <w:sz w:val="22"/>
          <w:szCs w:val="22"/>
        </w:rPr>
        <w:t xml:space="preserve">Non-state armed groups </w:t>
      </w:r>
      <w:r w:rsidR="000A7F78" w:rsidRPr="001A3367">
        <w:rPr>
          <w:rFonts w:eastAsia="Calibri" w:cs="Times New Roman"/>
          <w:sz w:val="22"/>
          <w:szCs w:val="22"/>
          <w:lang w:val="en-US" w:eastAsia="en-US"/>
        </w:rPr>
        <w:t xml:space="preserve">are not involved </w:t>
      </w:r>
      <w:r w:rsidR="000A7F78">
        <w:rPr>
          <w:rFonts w:eastAsia="Calibri" w:cs="Times New Roman"/>
          <w:sz w:val="22"/>
          <w:szCs w:val="22"/>
          <w:lang w:val="en-US" w:eastAsia="en-US"/>
        </w:rPr>
        <w:t xml:space="preserve">in discussions on </w:t>
      </w:r>
      <w:r w:rsidR="000A7F78">
        <w:rPr>
          <w:sz w:val="22"/>
          <w:szCs w:val="22"/>
        </w:rPr>
        <w:t>the “Safe Schools Declaration”. O</w:t>
      </w:r>
      <w:r w:rsidR="000A7F78" w:rsidRPr="000A7F78">
        <w:rPr>
          <w:sz w:val="22"/>
          <w:szCs w:val="22"/>
        </w:rPr>
        <w:t xml:space="preserve">utreach to non-state armed groups relies on the dissemination of the </w:t>
      </w:r>
      <w:r w:rsidR="000A7F78" w:rsidRPr="000A7F78">
        <w:rPr>
          <w:i/>
          <w:sz w:val="22"/>
          <w:szCs w:val="22"/>
        </w:rPr>
        <w:t>Guidelines</w:t>
      </w:r>
      <w:r w:rsidR="000A7F78" w:rsidRPr="000A7F78">
        <w:rPr>
          <w:sz w:val="22"/>
          <w:szCs w:val="22"/>
        </w:rPr>
        <w:t xml:space="preserve"> through other mechanisms and channels. These include: the ICRC, Geneva Call, and the UN’s children and armed conflict mechanism, in particular through the Country Task Forces on Monitoring and Reporting. </w:t>
      </w:r>
    </w:p>
    <w:p w14:paraId="53E3FAEA" w14:textId="77777777" w:rsidR="008D1A1F" w:rsidRPr="000A7F78" w:rsidRDefault="008D1A1F" w:rsidP="00A20EFB">
      <w:pPr>
        <w:spacing w:after="0"/>
        <w:jc w:val="both"/>
        <w:rPr>
          <w:sz w:val="22"/>
          <w:szCs w:val="22"/>
        </w:rPr>
      </w:pPr>
    </w:p>
    <w:p w14:paraId="2EC1FEA6" w14:textId="6D9C9E21" w:rsidR="00AC0DDF" w:rsidRPr="001A3367" w:rsidRDefault="000A7F78" w:rsidP="00A20EFB">
      <w:pPr>
        <w:spacing w:after="0"/>
        <w:jc w:val="both"/>
        <w:rPr>
          <w:sz w:val="22"/>
          <w:szCs w:val="22"/>
          <w:lang w:val="en-US"/>
        </w:rPr>
      </w:pPr>
      <w:r>
        <w:rPr>
          <w:sz w:val="22"/>
          <w:szCs w:val="22"/>
          <w:lang w:val="en-US"/>
        </w:rPr>
        <w:t>T</w:t>
      </w:r>
      <w:r w:rsidR="001A3367" w:rsidRPr="001A3367">
        <w:rPr>
          <w:sz w:val="22"/>
          <w:szCs w:val="22"/>
          <w:lang w:val="en-US"/>
        </w:rPr>
        <w:t xml:space="preserve">he </w:t>
      </w:r>
      <w:r w:rsidR="001A3367" w:rsidRPr="000A7F78">
        <w:rPr>
          <w:i/>
          <w:sz w:val="22"/>
          <w:szCs w:val="22"/>
          <w:lang w:val="en-US"/>
        </w:rPr>
        <w:t>Guidelines</w:t>
      </w:r>
      <w:r w:rsidR="001A3367" w:rsidRPr="001A3367">
        <w:rPr>
          <w:sz w:val="22"/>
          <w:szCs w:val="22"/>
          <w:lang w:val="en-US"/>
        </w:rPr>
        <w:t xml:space="preserve"> </w:t>
      </w:r>
      <w:r w:rsidR="00AC0DDF" w:rsidRPr="001A3367">
        <w:rPr>
          <w:sz w:val="22"/>
          <w:szCs w:val="22"/>
          <w:lang w:val="en-US"/>
        </w:rPr>
        <w:t>offer concrete and realistic guidance to help parties to conflict exercise restraint with respect to the military use of educational facilities in armed conflict and to mitigate the impact the practice can have on students’ safety and education. They are non-binding, do not create new international legal obligations and draw on existing good practice already applied by parties to conflict.</w:t>
      </w:r>
    </w:p>
    <w:p w14:paraId="4D67D47D" w14:textId="77777777" w:rsidR="00A20EFB" w:rsidRDefault="00A20EFB" w:rsidP="00A20EFB">
      <w:pPr>
        <w:spacing w:after="0"/>
        <w:rPr>
          <w:sz w:val="22"/>
          <w:szCs w:val="22"/>
          <w:lang w:val="en-US"/>
        </w:rPr>
      </w:pPr>
    </w:p>
    <w:p w14:paraId="0136A8C2" w14:textId="77777777" w:rsidR="00AC0DDF" w:rsidRPr="000A7F78" w:rsidRDefault="00AC0DDF" w:rsidP="00A20EFB">
      <w:pPr>
        <w:spacing w:after="0"/>
        <w:rPr>
          <w:sz w:val="22"/>
          <w:szCs w:val="22"/>
          <w:lang w:val="en-US"/>
        </w:rPr>
      </w:pPr>
      <w:r w:rsidRPr="000A7F78">
        <w:rPr>
          <w:sz w:val="22"/>
          <w:szCs w:val="22"/>
          <w:lang w:val="en-US"/>
        </w:rPr>
        <w:lastRenderedPageBreak/>
        <w:t xml:space="preserve">The </w:t>
      </w:r>
      <w:r w:rsidRPr="000A7F78">
        <w:rPr>
          <w:i/>
          <w:sz w:val="22"/>
          <w:szCs w:val="22"/>
          <w:lang w:val="en-US"/>
        </w:rPr>
        <w:t>Guidelines</w:t>
      </w:r>
      <w:r w:rsidRPr="000A7F78">
        <w:rPr>
          <w:sz w:val="22"/>
          <w:szCs w:val="22"/>
          <w:lang w:val="en-US"/>
        </w:rPr>
        <w:t xml:space="preserve"> are a practical tool to assist:</w:t>
      </w:r>
    </w:p>
    <w:p w14:paraId="28F4C0C4" w14:textId="77777777" w:rsidR="00AC0DDF" w:rsidRPr="000A7F78" w:rsidRDefault="00AC0DDF" w:rsidP="00A9649E">
      <w:pPr>
        <w:pStyle w:val="ListParagraph"/>
        <w:numPr>
          <w:ilvl w:val="0"/>
          <w:numId w:val="10"/>
        </w:numPr>
        <w:suppressAutoHyphens/>
        <w:autoSpaceDN w:val="0"/>
        <w:spacing w:after="0"/>
        <w:contextualSpacing w:val="0"/>
        <w:jc w:val="both"/>
        <w:textAlignment w:val="baseline"/>
        <w:rPr>
          <w:sz w:val="22"/>
          <w:szCs w:val="22"/>
          <w:lang w:val="en-US"/>
        </w:rPr>
      </w:pPr>
      <w:r w:rsidRPr="000A7F78">
        <w:rPr>
          <w:b/>
          <w:sz w:val="22"/>
          <w:szCs w:val="22"/>
          <w:lang w:val="en-US"/>
        </w:rPr>
        <w:t xml:space="preserve">Officers and soldiers </w:t>
      </w:r>
      <w:r w:rsidRPr="000A7F78">
        <w:rPr>
          <w:sz w:val="22"/>
          <w:szCs w:val="22"/>
          <w:lang w:val="en-US"/>
        </w:rPr>
        <w:t>in decision-making during battlefield situations and other military operations</w:t>
      </w:r>
    </w:p>
    <w:p w14:paraId="5093F213" w14:textId="77777777" w:rsidR="00AC0DDF" w:rsidRPr="000A7F78" w:rsidRDefault="00AC0DDF" w:rsidP="00A9649E">
      <w:pPr>
        <w:pStyle w:val="ListParagraph"/>
        <w:numPr>
          <w:ilvl w:val="0"/>
          <w:numId w:val="10"/>
        </w:numPr>
        <w:suppressAutoHyphens/>
        <w:autoSpaceDN w:val="0"/>
        <w:spacing w:after="0"/>
        <w:contextualSpacing w:val="0"/>
        <w:jc w:val="both"/>
        <w:textAlignment w:val="baseline"/>
        <w:rPr>
          <w:sz w:val="22"/>
          <w:szCs w:val="22"/>
          <w:lang w:val="en-US"/>
        </w:rPr>
      </w:pPr>
      <w:r w:rsidRPr="000A7F78">
        <w:rPr>
          <w:b/>
          <w:sz w:val="22"/>
          <w:szCs w:val="22"/>
          <w:lang w:val="en-US"/>
        </w:rPr>
        <w:t>Commanders and military planners</w:t>
      </w:r>
      <w:r w:rsidRPr="000A7F78">
        <w:rPr>
          <w:sz w:val="22"/>
          <w:szCs w:val="22"/>
          <w:lang w:val="en-US"/>
        </w:rPr>
        <w:t xml:space="preserve"> in preparing ahead to lessen the need to use and endanger schools;</w:t>
      </w:r>
    </w:p>
    <w:p w14:paraId="56BAA432" w14:textId="77777777" w:rsidR="00AC0DDF" w:rsidRPr="000A7F78" w:rsidRDefault="00AC0DDF" w:rsidP="00A9649E">
      <w:pPr>
        <w:pStyle w:val="ListParagraph"/>
        <w:numPr>
          <w:ilvl w:val="0"/>
          <w:numId w:val="10"/>
        </w:numPr>
        <w:suppressAutoHyphens/>
        <w:autoSpaceDN w:val="0"/>
        <w:spacing w:after="0"/>
        <w:contextualSpacing w:val="0"/>
        <w:jc w:val="both"/>
        <w:textAlignment w:val="baseline"/>
        <w:rPr>
          <w:sz w:val="22"/>
          <w:szCs w:val="22"/>
          <w:lang w:val="en-US"/>
        </w:rPr>
      </w:pPr>
      <w:r w:rsidRPr="000A7F78">
        <w:rPr>
          <w:b/>
          <w:sz w:val="22"/>
          <w:szCs w:val="22"/>
          <w:lang w:val="en-US"/>
        </w:rPr>
        <w:t>Governments</w:t>
      </w:r>
      <w:r w:rsidRPr="000A7F78">
        <w:rPr>
          <w:sz w:val="22"/>
          <w:szCs w:val="22"/>
          <w:lang w:val="en-US"/>
        </w:rPr>
        <w:t xml:space="preserve">, in particular ministries of education and </w:t>
      </w:r>
      <w:proofErr w:type="spellStart"/>
      <w:r w:rsidRPr="000A7F78">
        <w:rPr>
          <w:sz w:val="22"/>
          <w:szCs w:val="22"/>
          <w:lang w:val="en-US"/>
        </w:rPr>
        <w:t>defence</w:t>
      </w:r>
      <w:proofErr w:type="spellEnd"/>
      <w:r w:rsidRPr="000A7F78">
        <w:rPr>
          <w:sz w:val="22"/>
          <w:szCs w:val="22"/>
          <w:lang w:val="en-US"/>
        </w:rPr>
        <w:t xml:space="preserve">, as they consider creating or bolstering provisions for the prevention of and response to military use of educational facilities in domestic policies, legislation, as well as military doctrine and contingency plans; </w:t>
      </w:r>
    </w:p>
    <w:p w14:paraId="5139F9DD" w14:textId="77777777" w:rsidR="00AC0DDF" w:rsidRPr="000A7F78" w:rsidRDefault="00AC0DDF" w:rsidP="00A9649E">
      <w:pPr>
        <w:pStyle w:val="ListParagraph"/>
        <w:numPr>
          <w:ilvl w:val="0"/>
          <w:numId w:val="10"/>
        </w:numPr>
        <w:suppressAutoHyphens/>
        <w:autoSpaceDN w:val="0"/>
        <w:spacing w:after="0"/>
        <w:contextualSpacing w:val="0"/>
        <w:jc w:val="both"/>
        <w:textAlignment w:val="baseline"/>
        <w:rPr>
          <w:sz w:val="22"/>
          <w:szCs w:val="22"/>
          <w:lang w:val="en-US"/>
        </w:rPr>
      </w:pPr>
      <w:r w:rsidRPr="000A7F78">
        <w:rPr>
          <w:b/>
          <w:sz w:val="22"/>
          <w:szCs w:val="22"/>
          <w:lang w:val="en-US"/>
        </w:rPr>
        <w:t xml:space="preserve">International and national organizations </w:t>
      </w:r>
      <w:r w:rsidRPr="000A7F78">
        <w:rPr>
          <w:sz w:val="22"/>
          <w:szCs w:val="22"/>
          <w:lang w:val="en-US"/>
        </w:rPr>
        <w:t>in monitoring the conduct of armed actors, in engaging in dialogue with armed actors, and in working with governments to enhance policy and operational frameworks to mitigate the impact of military use of educational facilities for pupils, students and teachers in conflict zones.</w:t>
      </w:r>
    </w:p>
    <w:p w14:paraId="561D89D2" w14:textId="77777777" w:rsidR="00AC0DDF" w:rsidRPr="00AC0DDF" w:rsidRDefault="00AC0DDF" w:rsidP="00A20EFB">
      <w:pPr>
        <w:spacing w:after="0"/>
      </w:pPr>
    </w:p>
    <w:p w14:paraId="1F4A201A" w14:textId="02741DE9" w:rsidR="00243C47" w:rsidRDefault="0015324C" w:rsidP="00A9649E">
      <w:pPr>
        <w:pStyle w:val="Heading2"/>
        <w:numPr>
          <w:ilvl w:val="1"/>
          <w:numId w:val="9"/>
        </w:numPr>
        <w:spacing w:before="0"/>
      </w:pPr>
      <w:bookmarkStart w:id="3" w:name="h.30j0zll" w:colFirst="0" w:colLast="0"/>
      <w:bookmarkStart w:id="4" w:name="_Toc412485695"/>
      <w:bookmarkEnd w:id="3"/>
      <w:r w:rsidRPr="00B95C6C">
        <w:t>Purpose</w:t>
      </w:r>
      <w:r w:rsidR="000A7F78">
        <w:t xml:space="preserve"> </w:t>
      </w:r>
      <w:r w:rsidR="0039724C">
        <w:t xml:space="preserve">and scope </w:t>
      </w:r>
      <w:r w:rsidR="000A7F78">
        <w:t>of this strategy</w:t>
      </w:r>
      <w:bookmarkEnd w:id="4"/>
    </w:p>
    <w:p w14:paraId="3A7B323C" w14:textId="77777777" w:rsidR="00720167" w:rsidRPr="00720167" w:rsidRDefault="00720167" w:rsidP="00A20EFB">
      <w:pPr>
        <w:spacing w:after="0"/>
      </w:pPr>
    </w:p>
    <w:p w14:paraId="38EFAE3D" w14:textId="630F421C" w:rsidR="008065BA" w:rsidRPr="00B95C6C" w:rsidRDefault="0015324C" w:rsidP="00A20EFB">
      <w:pPr>
        <w:pStyle w:val="Normal1"/>
        <w:spacing w:after="0"/>
        <w:jc w:val="both"/>
        <w:rPr>
          <w:rFonts w:asciiTheme="minorHAnsi" w:hAnsiTheme="minorHAnsi"/>
          <w:sz w:val="22"/>
          <w:szCs w:val="22"/>
        </w:rPr>
      </w:pPr>
      <w:r w:rsidRPr="00B95C6C">
        <w:rPr>
          <w:rFonts w:asciiTheme="minorHAnsi" w:hAnsiTheme="minorHAnsi"/>
          <w:sz w:val="22"/>
          <w:szCs w:val="22"/>
        </w:rPr>
        <w:t xml:space="preserve">This strategy </w:t>
      </w:r>
      <w:r w:rsidR="00720167" w:rsidRPr="00B95C6C">
        <w:rPr>
          <w:rFonts w:asciiTheme="minorHAnsi" w:hAnsiTheme="minorHAnsi"/>
          <w:sz w:val="22"/>
          <w:szCs w:val="22"/>
        </w:rPr>
        <w:t xml:space="preserve">is designed to act as a framework for </w:t>
      </w:r>
      <w:r w:rsidR="00720167">
        <w:rPr>
          <w:rFonts w:asciiTheme="minorHAnsi" w:hAnsiTheme="minorHAnsi"/>
          <w:sz w:val="22"/>
          <w:szCs w:val="22"/>
        </w:rPr>
        <w:t>GCPEA’s advocacy</w:t>
      </w:r>
      <w:r w:rsidR="00720167" w:rsidRPr="00B95C6C">
        <w:rPr>
          <w:rFonts w:asciiTheme="minorHAnsi" w:hAnsiTheme="minorHAnsi"/>
          <w:sz w:val="22"/>
          <w:szCs w:val="22"/>
        </w:rPr>
        <w:t xml:space="preserve"> on </w:t>
      </w:r>
      <w:r w:rsidRPr="00B95C6C">
        <w:rPr>
          <w:rFonts w:asciiTheme="minorHAnsi" w:hAnsiTheme="minorHAnsi"/>
          <w:sz w:val="22"/>
          <w:szCs w:val="22"/>
        </w:rPr>
        <w:t xml:space="preserve">the </w:t>
      </w:r>
      <w:r w:rsidRPr="00B95C6C">
        <w:rPr>
          <w:rFonts w:asciiTheme="minorHAnsi" w:hAnsiTheme="minorHAnsi"/>
          <w:i/>
          <w:sz w:val="22"/>
          <w:szCs w:val="22"/>
        </w:rPr>
        <w:t xml:space="preserve">Guidelines for Protecting Schools and Universities from Military Use in Armed Conflict </w:t>
      </w:r>
      <w:r w:rsidRPr="00B95C6C">
        <w:rPr>
          <w:rFonts w:asciiTheme="minorHAnsi" w:hAnsiTheme="minorHAnsi"/>
          <w:sz w:val="22"/>
          <w:szCs w:val="22"/>
        </w:rPr>
        <w:t xml:space="preserve">(hereafter referred to as the </w:t>
      </w:r>
      <w:r w:rsidRPr="00B95C6C">
        <w:rPr>
          <w:rFonts w:asciiTheme="minorHAnsi" w:hAnsiTheme="minorHAnsi"/>
          <w:i/>
          <w:sz w:val="22"/>
          <w:szCs w:val="22"/>
        </w:rPr>
        <w:t>Guidelines</w:t>
      </w:r>
      <w:r w:rsidRPr="00B95C6C">
        <w:rPr>
          <w:rFonts w:asciiTheme="minorHAnsi" w:hAnsiTheme="minorHAnsi"/>
          <w:sz w:val="22"/>
          <w:szCs w:val="22"/>
        </w:rPr>
        <w:t xml:space="preserve">) </w:t>
      </w:r>
      <w:r w:rsidR="00243C47">
        <w:rPr>
          <w:rFonts w:asciiTheme="minorHAnsi" w:hAnsiTheme="minorHAnsi"/>
          <w:sz w:val="22"/>
          <w:szCs w:val="22"/>
        </w:rPr>
        <w:t xml:space="preserve">between January </w:t>
      </w:r>
      <w:r w:rsidR="008A275F">
        <w:rPr>
          <w:rFonts w:asciiTheme="minorHAnsi" w:hAnsiTheme="minorHAnsi"/>
          <w:sz w:val="22"/>
          <w:szCs w:val="22"/>
        </w:rPr>
        <w:t xml:space="preserve">2015 </w:t>
      </w:r>
      <w:r w:rsidR="00243C47">
        <w:rPr>
          <w:rFonts w:asciiTheme="minorHAnsi" w:hAnsiTheme="minorHAnsi"/>
          <w:sz w:val="22"/>
          <w:szCs w:val="22"/>
        </w:rPr>
        <w:t xml:space="preserve">and the </w:t>
      </w:r>
      <w:r w:rsidR="008A275F">
        <w:rPr>
          <w:rFonts w:asciiTheme="minorHAnsi" w:hAnsiTheme="minorHAnsi"/>
          <w:sz w:val="22"/>
          <w:szCs w:val="22"/>
        </w:rPr>
        <w:t>first half of 2016</w:t>
      </w:r>
      <w:r w:rsidR="00517ACC" w:rsidRPr="00B95C6C">
        <w:rPr>
          <w:rFonts w:asciiTheme="minorHAnsi" w:hAnsiTheme="minorHAnsi"/>
          <w:sz w:val="22"/>
          <w:szCs w:val="22"/>
        </w:rPr>
        <w:t xml:space="preserve">. </w:t>
      </w:r>
      <w:r w:rsidR="008065BA" w:rsidRPr="00B95C6C">
        <w:rPr>
          <w:rFonts w:asciiTheme="minorHAnsi" w:hAnsiTheme="minorHAnsi"/>
          <w:sz w:val="22"/>
          <w:szCs w:val="22"/>
        </w:rPr>
        <w:t xml:space="preserve">The </w:t>
      </w:r>
      <w:r w:rsidR="00321238">
        <w:rPr>
          <w:rFonts w:asciiTheme="minorHAnsi" w:hAnsiTheme="minorHAnsi"/>
          <w:sz w:val="22"/>
          <w:szCs w:val="22"/>
        </w:rPr>
        <w:t xml:space="preserve">specific objectives of the strategy </w:t>
      </w:r>
      <w:r w:rsidR="008065BA" w:rsidRPr="00B95C6C">
        <w:rPr>
          <w:rFonts w:asciiTheme="minorHAnsi" w:hAnsiTheme="minorHAnsi"/>
          <w:sz w:val="22"/>
          <w:szCs w:val="22"/>
        </w:rPr>
        <w:t xml:space="preserve">cover three distinct periods: </w:t>
      </w:r>
    </w:p>
    <w:p w14:paraId="5DFC1D25" w14:textId="15928B9D" w:rsidR="008065BA" w:rsidRPr="00B95C6C" w:rsidRDefault="008065BA" w:rsidP="00A9649E">
      <w:pPr>
        <w:pStyle w:val="Normal1"/>
        <w:numPr>
          <w:ilvl w:val="0"/>
          <w:numId w:val="1"/>
        </w:numPr>
        <w:spacing w:after="0"/>
        <w:ind w:hanging="359"/>
        <w:contextualSpacing/>
        <w:jc w:val="both"/>
        <w:rPr>
          <w:rFonts w:asciiTheme="minorHAnsi" w:hAnsiTheme="minorHAnsi"/>
          <w:sz w:val="22"/>
          <w:szCs w:val="22"/>
        </w:rPr>
      </w:pPr>
      <w:proofErr w:type="gramStart"/>
      <w:r w:rsidRPr="00B95C6C">
        <w:rPr>
          <w:rFonts w:asciiTheme="minorHAnsi" w:hAnsiTheme="minorHAnsi"/>
          <w:sz w:val="22"/>
          <w:szCs w:val="22"/>
        </w:rPr>
        <w:t>Phase</w:t>
      </w:r>
      <w:proofErr w:type="gramEnd"/>
      <w:r w:rsidRPr="00B95C6C">
        <w:rPr>
          <w:rFonts w:asciiTheme="minorHAnsi" w:hAnsiTheme="minorHAnsi"/>
          <w:sz w:val="22"/>
          <w:szCs w:val="22"/>
        </w:rPr>
        <w:t xml:space="preserve"> one (January to June 2015): </w:t>
      </w:r>
      <w:r w:rsidR="00720167">
        <w:rPr>
          <w:rFonts w:asciiTheme="minorHAnsi" w:hAnsiTheme="minorHAnsi"/>
          <w:sz w:val="22"/>
          <w:szCs w:val="22"/>
        </w:rPr>
        <w:t xml:space="preserve">focuses on </w:t>
      </w:r>
      <w:r w:rsidR="00720167" w:rsidRPr="00B95C6C">
        <w:rPr>
          <w:rFonts w:asciiTheme="minorHAnsi" w:hAnsiTheme="minorHAnsi"/>
          <w:sz w:val="22"/>
          <w:szCs w:val="22"/>
        </w:rPr>
        <w:t xml:space="preserve">influencing </w:t>
      </w:r>
      <w:r w:rsidR="00720167">
        <w:rPr>
          <w:rFonts w:asciiTheme="minorHAnsi" w:hAnsiTheme="minorHAnsi"/>
          <w:sz w:val="22"/>
          <w:szCs w:val="22"/>
        </w:rPr>
        <w:t xml:space="preserve">the state endorsement process through the negotiation of </w:t>
      </w:r>
      <w:r w:rsidR="00720167" w:rsidRPr="00B95C6C">
        <w:rPr>
          <w:rFonts w:asciiTheme="minorHAnsi" w:hAnsiTheme="minorHAnsi"/>
          <w:sz w:val="22"/>
          <w:szCs w:val="22"/>
        </w:rPr>
        <w:t xml:space="preserve">the </w:t>
      </w:r>
      <w:r w:rsidR="00720167" w:rsidRPr="005F3987">
        <w:rPr>
          <w:rFonts w:asciiTheme="minorHAnsi" w:hAnsiTheme="minorHAnsi"/>
          <w:i/>
          <w:sz w:val="22"/>
          <w:szCs w:val="22"/>
        </w:rPr>
        <w:t>Safe Schools Declaration</w:t>
      </w:r>
      <w:r w:rsidR="00720167" w:rsidRPr="00B95C6C">
        <w:rPr>
          <w:rFonts w:asciiTheme="minorHAnsi" w:hAnsiTheme="minorHAnsi"/>
          <w:sz w:val="22"/>
          <w:szCs w:val="22"/>
        </w:rPr>
        <w:t xml:space="preserve">, </w:t>
      </w:r>
      <w:r w:rsidR="00720167">
        <w:rPr>
          <w:rFonts w:asciiTheme="minorHAnsi" w:hAnsiTheme="minorHAnsi"/>
          <w:sz w:val="22"/>
          <w:szCs w:val="22"/>
        </w:rPr>
        <w:t xml:space="preserve">which </w:t>
      </w:r>
      <w:r w:rsidR="00720167" w:rsidRPr="00B95C6C">
        <w:rPr>
          <w:rFonts w:asciiTheme="minorHAnsi" w:hAnsiTheme="minorHAnsi"/>
          <w:sz w:val="22"/>
          <w:szCs w:val="22"/>
        </w:rPr>
        <w:t xml:space="preserve">will </w:t>
      </w:r>
      <w:r w:rsidR="00720167">
        <w:rPr>
          <w:rFonts w:asciiTheme="minorHAnsi" w:hAnsiTheme="minorHAnsi"/>
          <w:sz w:val="22"/>
          <w:szCs w:val="22"/>
        </w:rPr>
        <w:t xml:space="preserve">constitute the formal basis for states to adopt and </w:t>
      </w:r>
      <w:r w:rsidR="00720167" w:rsidRPr="00B95C6C">
        <w:rPr>
          <w:rFonts w:asciiTheme="minorHAnsi" w:hAnsiTheme="minorHAnsi"/>
          <w:sz w:val="22"/>
          <w:szCs w:val="22"/>
        </w:rPr>
        <w:t xml:space="preserve">commitment to implement the </w:t>
      </w:r>
      <w:r w:rsidR="00720167" w:rsidRPr="00B95C6C">
        <w:rPr>
          <w:rFonts w:asciiTheme="minorHAnsi" w:hAnsiTheme="minorHAnsi"/>
          <w:i/>
          <w:sz w:val="22"/>
          <w:szCs w:val="22"/>
        </w:rPr>
        <w:t>Guidelines</w:t>
      </w:r>
      <w:r w:rsidR="00720167">
        <w:rPr>
          <w:rFonts w:asciiTheme="minorHAnsi" w:hAnsiTheme="minorHAnsi"/>
          <w:i/>
          <w:sz w:val="22"/>
          <w:szCs w:val="22"/>
        </w:rPr>
        <w:t xml:space="preserve">. </w:t>
      </w:r>
      <w:r w:rsidR="00720167" w:rsidRPr="00720167">
        <w:rPr>
          <w:rFonts w:asciiTheme="minorHAnsi" w:hAnsiTheme="minorHAnsi"/>
          <w:sz w:val="22"/>
          <w:szCs w:val="22"/>
        </w:rPr>
        <w:t>This is</w:t>
      </w:r>
      <w:r w:rsidR="00720167">
        <w:rPr>
          <w:rFonts w:asciiTheme="minorHAnsi" w:hAnsiTheme="minorHAnsi"/>
          <w:i/>
          <w:sz w:val="22"/>
          <w:szCs w:val="22"/>
        </w:rPr>
        <w:t xml:space="preserve"> </w:t>
      </w:r>
      <w:r w:rsidR="00720167" w:rsidRPr="00B95C6C">
        <w:rPr>
          <w:rFonts w:asciiTheme="minorHAnsi" w:hAnsiTheme="minorHAnsi"/>
          <w:sz w:val="22"/>
          <w:szCs w:val="22"/>
        </w:rPr>
        <w:t>the</w:t>
      </w:r>
      <w:r w:rsidR="00720167">
        <w:rPr>
          <w:rFonts w:asciiTheme="minorHAnsi" w:hAnsiTheme="minorHAnsi"/>
          <w:sz w:val="22"/>
          <w:szCs w:val="22"/>
        </w:rPr>
        <w:t xml:space="preserve"> primary focus of this document</w:t>
      </w:r>
      <w:r w:rsidRPr="00B95C6C">
        <w:rPr>
          <w:rFonts w:asciiTheme="minorHAnsi" w:hAnsiTheme="minorHAnsi"/>
          <w:sz w:val="22"/>
          <w:szCs w:val="22"/>
        </w:rPr>
        <w:t xml:space="preserve">; </w:t>
      </w:r>
    </w:p>
    <w:p w14:paraId="2BF6FD1E" w14:textId="3202CF8A" w:rsidR="008065BA" w:rsidRPr="00B95C6C" w:rsidRDefault="008065BA" w:rsidP="00A9649E">
      <w:pPr>
        <w:pStyle w:val="Normal1"/>
        <w:numPr>
          <w:ilvl w:val="0"/>
          <w:numId w:val="1"/>
        </w:numPr>
        <w:spacing w:after="0"/>
        <w:ind w:hanging="359"/>
        <w:contextualSpacing/>
        <w:jc w:val="both"/>
        <w:rPr>
          <w:rFonts w:asciiTheme="minorHAnsi" w:hAnsiTheme="minorHAnsi"/>
          <w:sz w:val="22"/>
          <w:szCs w:val="22"/>
        </w:rPr>
      </w:pPr>
      <w:r w:rsidRPr="00B95C6C">
        <w:rPr>
          <w:rFonts w:asciiTheme="minorHAnsi" w:hAnsiTheme="minorHAnsi"/>
          <w:sz w:val="22"/>
          <w:szCs w:val="22"/>
        </w:rPr>
        <w:t xml:space="preserve">Phase two (July to December 2015): </w:t>
      </w:r>
      <w:r w:rsidR="005F3987">
        <w:rPr>
          <w:rFonts w:asciiTheme="minorHAnsi" w:hAnsiTheme="minorHAnsi"/>
          <w:sz w:val="22"/>
          <w:szCs w:val="22"/>
        </w:rPr>
        <w:t xml:space="preserve">covers the period </w:t>
      </w:r>
      <w:r w:rsidRPr="00B95C6C">
        <w:rPr>
          <w:rFonts w:asciiTheme="minorHAnsi" w:hAnsiTheme="minorHAnsi"/>
          <w:sz w:val="22"/>
          <w:szCs w:val="22"/>
        </w:rPr>
        <w:t xml:space="preserve">from commitment to actual implementation; </w:t>
      </w:r>
    </w:p>
    <w:p w14:paraId="3D593839" w14:textId="732BCF41" w:rsidR="008065BA" w:rsidRPr="00B95C6C" w:rsidRDefault="008065BA" w:rsidP="00A9649E">
      <w:pPr>
        <w:pStyle w:val="Normal1"/>
        <w:numPr>
          <w:ilvl w:val="0"/>
          <w:numId w:val="1"/>
        </w:numPr>
        <w:spacing w:after="0"/>
        <w:ind w:hanging="359"/>
        <w:contextualSpacing/>
        <w:jc w:val="both"/>
        <w:rPr>
          <w:rFonts w:asciiTheme="minorHAnsi" w:hAnsiTheme="minorHAnsi"/>
          <w:sz w:val="22"/>
          <w:szCs w:val="22"/>
        </w:rPr>
      </w:pPr>
      <w:proofErr w:type="gramStart"/>
      <w:r w:rsidRPr="00B95C6C">
        <w:rPr>
          <w:rFonts w:asciiTheme="minorHAnsi" w:hAnsiTheme="minorHAnsi"/>
          <w:sz w:val="22"/>
          <w:szCs w:val="22"/>
        </w:rPr>
        <w:t>Phase</w:t>
      </w:r>
      <w:proofErr w:type="gramEnd"/>
      <w:r w:rsidRPr="00B95C6C">
        <w:rPr>
          <w:rFonts w:asciiTheme="minorHAnsi" w:hAnsiTheme="minorHAnsi"/>
          <w:sz w:val="22"/>
          <w:szCs w:val="22"/>
        </w:rPr>
        <w:t xml:space="preserve"> three (January-</w:t>
      </w:r>
      <w:r w:rsidR="0039724C">
        <w:rPr>
          <w:rFonts w:asciiTheme="minorHAnsi" w:hAnsiTheme="minorHAnsi"/>
          <w:sz w:val="22"/>
          <w:szCs w:val="22"/>
        </w:rPr>
        <w:t>June</w:t>
      </w:r>
      <w:r w:rsidRPr="00B95C6C">
        <w:rPr>
          <w:rFonts w:asciiTheme="minorHAnsi" w:hAnsiTheme="minorHAnsi"/>
          <w:sz w:val="22"/>
          <w:szCs w:val="22"/>
        </w:rPr>
        <w:t xml:space="preserve"> 2016): </w:t>
      </w:r>
      <w:r w:rsidR="005F3987">
        <w:rPr>
          <w:rFonts w:asciiTheme="minorHAnsi" w:hAnsiTheme="minorHAnsi"/>
          <w:sz w:val="22"/>
          <w:szCs w:val="22"/>
        </w:rPr>
        <w:t>reflect</w:t>
      </w:r>
      <w:r w:rsidR="00777A98">
        <w:rPr>
          <w:rFonts w:asciiTheme="minorHAnsi" w:hAnsiTheme="minorHAnsi"/>
          <w:sz w:val="22"/>
          <w:szCs w:val="22"/>
        </w:rPr>
        <w:t>s</w:t>
      </w:r>
      <w:r w:rsidR="005F3987">
        <w:rPr>
          <w:rFonts w:asciiTheme="minorHAnsi" w:hAnsiTheme="minorHAnsi"/>
          <w:sz w:val="22"/>
          <w:szCs w:val="22"/>
        </w:rPr>
        <w:t xml:space="preserve"> a period for </w:t>
      </w:r>
      <w:r w:rsidR="000D17B0">
        <w:rPr>
          <w:rFonts w:asciiTheme="minorHAnsi" w:hAnsiTheme="minorHAnsi"/>
          <w:sz w:val="22"/>
          <w:szCs w:val="22"/>
        </w:rPr>
        <w:t xml:space="preserve">continued </w:t>
      </w:r>
      <w:r w:rsidR="000D17B0" w:rsidRPr="00B95C6C">
        <w:rPr>
          <w:rFonts w:asciiTheme="minorHAnsi" w:hAnsiTheme="minorHAnsi"/>
          <w:sz w:val="22"/>
          <w:szCs w:val="22"/>
        </w:rPr>
        <w:t>commitment to implementation</w:t>
      </w:r>
      <w:r w:rsidR="000D17B0">
        <w:rPr>
          <w:rFonts w:asciiTheme="minorHAnsi" w:hAnsiTheme="minorHAnsi"/>
          <w:sz w:val="22"/>
          <w:szCs w:val="22"/>
        </w:rPr>
        <w:t xml:space="preserve">, as well as </w:t>
      </w:r>
      <w:r w:rsidRPr="00B95C6C">
        <w:rPr>
          <w:rFonts w:asciiTheme="minorHAnsi" w:hAnsiTheme="minorHAnsi"/>
          <w:sz w:val="22"/>
          <w:szCs w:val="22"/>
        </w:rPr>
        <w:t xml:space="preserve">evaluation of progress and future </w:t>
      </w:r>
      <w:r w:rsidR="005F3987">
        <w:rPr>
          <w:rFonts w:asciiTheme="minorHAnsi" w:hAnsiTheme="minorHAnsi"/>
          <w:sz w:val="22"/>
          <w:szCs w:val="22"/>
        </w:rPr>
        <w:t>planning</w:t>
      </w:r>
      <w:r w:rsidRPr="00B95C6C">
        <w:rPr>
          <w:rFonts w:asciiTheme="minorHAnsi" w:hAnsiTheme="minorHAnsi"/>
          <w:sz w:val="22"/>
          <w:szCs w:val="22"/>
        </w:rPr>
        <w:t xml:space="preserve">. </w:t>
      </w:r>
      <w:r w:rsidR="005F3987" w:rsidRPr="00B95C6C">
        <w:rPr>
          <w:rStyle w:val="FootnoteReference"/>
          <w:rFonts w:asciiTheme="minorHAnsi" w:hAnsiTheme="minorHAnsi"/>
          <w:sz w:val="22"/>
          <w:szCs w:val="22"/>
        </w:rPr>
        <w:footnoteReference w:id="3"/>
      </w:r>
    </w:p>
    <w:p w14:paraId="2B285A9E" w14:textId="77777777" w:rsidR="0039724C" w:rsidRPr="0039724C" w:rsidRDefault="0039724C" w:rsidP="00A20EFB">
      <w:pPr>
        <w:pStyle w:val="Default"/>
        <w:jc w:val="both"/>
        <w:rPr>
          <w:rFonts w:asciiTheme="minorHAnsi" w:hAnsiTheme="minorHAnsi"/>
          <w:sz w:val="22"/>
          <w:szCs w:val="22"/>
          <w:lang w:val="en-US"/>
        </w:rPr>
      </w:pPr>
      <w:bookmarkStart w:id="5" w:name="h.1fob9te" w:colFirst="0" w:colLast="0"/>
      <w:bookmarkStart w:id="6" w:name="h.34kfswiibz8r" w:colFirst="0" w:colLast="0"/>
      <w:bookmarkEnd w:id="5"/>
      <w:bookmarkEnd w:id="6"/>
    </w:p>
    <w:p w14:paraId="144DF9A5" w14:textId="636D06EA" w:rsidR="0039724C" w:rsidRDefault="0039724C" w:rsidP="00A20EFB">
      <w:pPr>
        <w:pStyle w:val="CommentText"/>
        <w:spacing w:after="0"/>
        <w:jc w:val="both"/>
        <w:rPr>
          <w:sz w:val="22"/>
          <w:szCs w:val="22"/>
        </w:rPr>
      </w:pPr>
      <w:r w:rsidRPr="00B95C6C">
        <w:rPr>
          <w:sz w:val="22"/>
          <w:szCs w:val="22"/>
        </w:rPr>
        <w:t xml:space="preserve">GCPEA’s membership includes organizations with various types of philosophies and approaches with respect to advocacy and this diversity within GCPEA is a strong asset that can be leveraged strategically to achieve common goals. These may include constructive </w:t>
      </w:r>
      <w:r w:rsidRPr="00B95C6C">
        <w:rPr>
          <w:i/>
          <w:sz w:val="22"/>
          <w:szCs w:val="22"/>
        </w:rPr>
        <w:t>dialogue</w:t>
      </w:r>
      <w:r w:rsidRPr="00B95C6C">
        <w:rPr>
          <w:sz w:val="22"/>
          <w:szCs w:val="22"/>
        </w:rPr>
        <w:t xml:space="preserve"> (typically, but not always, in private) and a more </w:t>
      </w:r>
      <w:r w:rsidRPr="00B95C6C">
        <w:rPr>
          <w:i/>
          <w:sz w:val="22"/>
          <w:szCs w:val="22"/>
        </w:rPr>
        <w:t xml:space="preserve">critical approach </w:t>
      </w:r>
      <w:r w:rsidRPr="00B95C6C">
        <w:rPr>
          <w:sz w:val="22"/>
          <w:szCs w:val="22"/>
        </w:rPr>
        <w:t>(typically, but not always, public), each with their own set of strengths and weaknesses</w:t>
      </w:r>
      <w:r>
        <w:rPr>
          <w:sz w:val="22"/>
          <w:szCs w:val="22"/>
        </w:rPr>
        <w:t xml:space="preserve">. </w:t>
      </w:r>
      <w:r w:rsidRPr="00B95C6C">
        <w:rPr>
          <w:sz w:val="22"/>
          <w:szCs w:val="22"/>
        </w:rPr>
        <w:t xml:space="preserve"> </w:t>
      </w:r>
      <w:r>
        <w:rPr>
          <w:sz w:val="22"/>
          <w:szCs w:val="22"/>
        </w:rPr>
        <w:t>T</w:t>
      </w:r>
      <w:r w:rsidRPr="00B95C6C">
        <w:rPr>
          <w:sz w:val="22"/>
          <w:szCs w:val="22"/>
        </w:rPr>
        <w:t>he two approaches can be complementary</w:t>
      </w:r>
      <w:r>
        <w:rPr>
          <w:sz w:val="22"/>
          <w:szCs w:val="22"/>
        </w:rPr>
        <w:t xml:space="preserve">. </w:t>
      </w:r>
      <w:r w:rsidRPr="00B95C6C">
        <w:rPr>
          <w:sz w:val="22"/>
          <w:szCs w:val="22"/>
        </w:rPr>
        <w:t xml:space="preserve"> </w:t>
      </w:r>
      <w:r>
        <w:rPr>
          <w:sz w:val="22"/>
          <w:szCs w:val="22"/>
        </w:rPr>
        <w:t>B</w:t>
      </w:r>
      <w:r w:rsidRPr="00B95C6C">
        <w:rPr>
          <w:sz w:val="22"/>
          <w:szCs w:val="22"/>
        </w:rPr>
        <w:t>ased on an analysis of the context GCPEA recommends that country-specific action plans be developed, which determine the most appropriate</w:t>
      </w:r>
      <w:r>
        <w:rPr>
          <w:sz w:val="22"/>
          <w:szCs w:val="22"/>
        </w:rPr>
        <w:t xml:space="preserve"> </w:t>
      </w:r>
      <w:r w:rsidRPr="00B95C6C">
        <w:rPr>
          <w:sz w:val="22"/>
          <w:szCs w:val="22"/>
        </w:rPr>
        <w:t>approach</w:t>
      </w:r>
      <w:r>
        <w:rPr>
          <w:sz w:val="22"/>
          <w:szCs w:val="22"/>
        </w:rPr>
        <w:t xml:space="preserve">. </w:t>
      </w:r>
    </w:p>
    <w:p w14:paraId="779431C8" w14:textId="77777777" w:rsidR="00A7164C" w:rsidRDefault="00A7164C" w:rsidP="00A20EFB">
      <w:pPr>
        <w:pStyle w:val="CommentText"/>
        <w:spacing w:after="0"/>
        <w:jc w:val="both"/>
        <w:rPr>
          <w:sz w:val="22"/>
          <w:szCs w:val="22"/>
        </w:rPr>
      </w:pPr>
    </w:p>
    <w:p w14:paraId="0B46C88F" w14:textId="77777777" w:rsidR="00A7164C" w:rsidRDefault="00A7164C" w:rsidP="00A20EFB">
      <w:pPr>
        <w:pStyle w:val="CommentText"/>
        <w:spacing w:after="0"/>
        <w:jc w:val="both"/>
        <w:rPr>
          <w:sz w:val="22"/>
          <w:szCs w:val="22"/>
        </w:rPr>
      </w:pPr>
    </w:p>
    <w:p w14:paraId="7811F95B" w14:textId="77777777" w:rsidR="00A7164C" w:rsidRDefault="00A7164C" w:rsidP="00A20EFB">
      <w:pPr>
        <w:pStyle w:val="CommentText"/>
        <w:spacing w:after="0"/>
        <w:jc w:val="both"/>
        <w:rPr>
          <w:sz w:val="22"/>
          <w:szCs w:val="22"/>
        </w:rPr>
      </w:pPr>
    </w:p>
    <w:p w14:paraId="64981ABB" w14:textId="0D805DE1" w:rsidR="00A7164C" w:rsidRPr="00B95C6C" w:rsidRDefault="00A7164C" w:rsidP="00A20EFB">
      <w:pPr>
        <w:pStyle w:val="CommentText"/>
        <w:spacing w:after="0"/>
        <w:jc w:val="both"/>
        <w:rPr>
          <w:sz w:val="22"/>
          <w:szCs w:val="22"/>
        </w:rPr>
      </w:pPr>
      <w:r w:rsidRPr="00A7164C">
        <w:rPr>
          <w:noProof/>
          <w:sz w:val="22"/>
          <w:szCs w:val="22"/>
          <w:lang w:val="fr-CH" w:eastAsia="fr-CH"/>
        </w:rPr>
        <mc:AlternateContent>
          <mc:Choice Requires="wps">
            <w:drawing>
              <wp:anchor distT="0" distB="0" distL="114300" distR="114300" simplePos="0" relativeHeight="251661312" behindDoc="0" locked="0" layoutInCell="1" allowOverlap="1" wp14:anchorId="109E25FB" wp14:editId="7E7500A8">
                <wp:simplePos x="0" y="0"/>
                <wp:positionH relativeFrom="column">
                  <wp:align>center</wp:align>
                </wp:positionH>
                <wp:positionV relativeFrom="paragraph">
                  <wp:posOffset>0</wp:posOffset>
                </wp:positionV>
                <wp:extent cx="5270500" cy="1403985"/>
                <wp:effectExtent l="0" t="0" r="254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03985"/>
                        </a:xfrm>
                        <a:prstGeom prst="rect">
                          <a:avLst/>
                        </a:prstGeom>
                        <a:solidFill>
                          <a:srgbClr val="FFFFFF"/>
                        </a:solidFill>
                        <a:ln w="9525">
                          <a:solidFill>
                            <a:srgbClr val="000000"/>
                          </a:solidFill>
                          <a:miter lim="800000"/>
                          <a:headEnd/>
                          <a:tailEnd/>
                        </a:ln>
                      </wps:spPr>
                      <wps:txbx>
                        <w:txbxContent>
                          <w:p w14:paraId="194571D6" w14:textId="69A718C7" w:rsidR="00BF5D31" w:rsidRDefault="00BF5D31">
                            <w:r>
                              <w:rPr>
                                <w:sz w:val="22"/>
                                <w:szCs w:val="22"/>
                              </w:rPr>
                              <w:t xml:space="preserve">For any questions regarding the implementation of this strategy, please contact GCPEA’s Coordinator on the Guidelines: Filipa Schmitz Guinote – </w:t>
                            </w:r>
                            <w:hyperlink r:id="rId11" w:history="1">
                              <w:r w:rsidRPr="00F304D0">
                                <w:rPr>
                                  <w:rStyle w:val="Hyperlink"/>
                                  <w:sz w:val="22"/>
                                  <w:szCs w:val="22"/>
                                </w:rPr>
                                <w:t>fguinote@protectingeducation.org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rYIgIAAEU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">
                <v:textbox style="mso-fit-shape-to-text:t">
                  <w:txbxContent>
                    <w:p w14:paraId="194571D6" w14:textId="69A718C7" w:rsidR="00BF5D31" w:rsidRDefault="00BF5D31">
                      <w:r>
                        <w:rPr>
                          <w:sz w:val="22"/>
                          <w:szCs w:val="22"/>
                        </w:rPr>
                        <w:t xml:space="preserve">For any questions regarding the implementation of this strategy, please contact GCPEA’s Coordinator on the Guidelines: Filipa Schmitz Guinote – </w:t>
                      </w:r>
                      <w:hyperlink r:id="rId12" w:history="1">
                        <w:r w:rsidRPr="00F304D0">
                          <w:rPr>
                            <w:rStyle w:val="Hyperlink"/>
                            <w:sz w:val="22"/>
                            <w:szCs w:val="22"/>
                          </w:rPr>
                          <w:t>fguinote@protectingeducation.org</w:t>
                        </w:r>
                      </w:hyperlink>
                    </w:p>
                  </w:txbxContent>
                </v:textbox>
              </v:shape>
            </w:pict>
          </mc:Fallback>
        </mc:AlternateContent>
      </w:r>
    </w:p>
    <w:p w14:paraId="348BC5FD" w14:textId="77777777" w:rsidR="0039724C" w:rsidRPr="00B95C6C" w:rsidRDefault="0039724C" w:rsidP="00A20EFB">
      <w:pPr>
        <w:pStyle w:val="Normal1"/>
        <w:spacing w:after="0"/>
        <w:jc w:val="both"/>
        <w:rPr>
          <w:rFonts w:asciiTheme="minorHAnsi" w:hAnsiTheme="minorHAnsi"/>
          <w:sz w:val="22"/>
          <w:szCs w:val="22"/>
        </w:rPr>
      </w:pPr>
    </w:p>
    <w:p w14:paraId="42FB784A" w14:textId="77777777" w:rsidR="00A20EFB" w:rsidRDefault="00A20EFB">
      <w:pPr>
        <w:rPr>
          <w:rFonts w:asciiTheme="majorHAnsi" w:eastAsiaTheme="majorEastAsia" w:hAnsiTheme="majorHAnsi" w:cstheme="majorBidi"/>
          <w:b/>
          <w:bCs/>
          <w:color w:val="345A8A" w:themeColor="accent1" w:themeShade="B5"/>
          <w:sz w:val="32"/>
          <w:szCs w:val="32"/>
        </w:rPr>
      </w:pPr>
      <w:bookmarkStart w:id="7" w:name="h.3znysh7" w:colFirst="0" w:colLast="0"/>
      <w:bookmarkStart w:id="8" w:name="h.2et92p0" w:colFirst="0" w:colLast="0"/>
      <w:bookmarkEnd w:id="7"/>
      <w:bookmarkEnd w:id="8"/>
      <w:r>
        <w:br w:type="page"/>
      </w:r>
    </w:p>
    <w:p w14:paraId="2E1AFA2B" w14:textId="234FAF0E" w:rsidR="0015324C" w:rsidRPr="00FC4270" w:rsidRDefault="0015324C" w:rsidP="00A20EFB">
      <w:pPr>
        <w:pStyle w:val="Heading1"/>
        <w:spacing w:before="0"/>
      </w:pPr>
      <w:bookmarkStart w:id="9" w:name="_Toc412485696"/>
      <w:r w:rsidRPr="00FC4270">
        <w:lastRenderedPageBreak/>
        <w:t>Section 2: Goals and Objectives</w:t>
      </w:r>
      <w:bookmarkEnd w:id="9"/>
      <w:r w:rsidRPr="00FC4270">
        <w:t xml:space="preserve"> </w:t>
      </w:r>
    </w:p>
    <w:p w14:paraId="44427E4F" w14:textId="77777777" w:rsidR="00A20EFB" w:rsidRDefault="00A20EFB" w:rsidP="00A20EFB">
      <w:pPr>
        <w:pStyle w:val="Heading2"/>
        <w:spacing w:before="0"/>
      </w:pPr>
      <w:bookmarkStart w:id="10" w:name="h.1t3h5sf" w:colFirst="0" w:colLast="0"/>
      <w:bookmarkEnd w:id="10"/>
    </w:p>
    <w:p w14:paraId="6A86AF3C" w14:textId="106F7D43" w:rsidR="00C169FD" w:rsidRPr="00B95C6C" w:rsidRDefault="00AA4CA8" w:rsidP="00A20EFB">
      <w:pPr>
        <w:pStyle w:val="Heading2"/>
        <w:spacing w:before="0"/>
      </w:pPr>
      <w:bookmarkStart w:id="11" w:name="_Toc412485697"/>
      <w:r>
        <w:t xml:space="preserve">2.1 </w:t>
      </w:r>
      <w:r w:rsidR="0015324C" w:rsidRPr="00B95C6C">
        <w:t>Goal</w:t>
      </w:r>
      <w:bookmarkEnd w:id="11"/>
    </w:p>
    <w:p w14:paraId="006E8623" w14:textId="77777777" w:rsidR="0039724C" w:rsidRDefault="0039724C" w:rsidP="00A20EFB">
      <w:pPr>
        <w:spacing w:after="0"/>
        <w:jc w:val="both"/>
        <w:rPr>
          <w:sz w:val="22"/>
          <w:szCs w:val="22"/>
          <w:highlight w:val="yellow"/>
        </w:rPr>
      </w:pPr>
    </w:p>
    <w:p w14:paraId="5232E0CE" w14:textId="48105827" w:rsidR="002F4663" w:rsidRPr="00B95C6C" w:rsidRDefault="0039724C" w:rsidP="00A20EFB">
      <w:pPr>
        <w:spacing w:after="0"/>
        <w:jc w:val="both"/>
        <w:rPr>
          <w:sz w:val="22"/>
          <w:szCs w:val="22"/>
        </w:rPr>
      </w:pPr>
      <w:r w:rsidRPr="007A4121">
        <w:rPr>
          <w:sz w:val="22"/>
          <w:szCs w:val="22"/>
        </w:rPr>
        <w:t xml:space="preserve">The overarching goal of the strategy is to reduce military use of schools and universities during armed conflict, through the </w:t>
      </w:r>
      <w:r w:rsidR="00FE3D27" w:rsidRPr="007A4121">
        <w:rPr>
          <w:sz w:val="22"/>
          <w:szCs w:val="22"/>
        </w:rPr>
        <w:t>incorporation</w:t>
      </w:r>
      <w:r w:rsidRPr="007A4121">
        <w:rPr>
          <w:sz w:val="22"/>
          <w:szCs w:val="22"/>
        </w:rPr>
        <w:t xml:space="preserve"> of the </w:t>
      </w:r>
      <w:r w:rsidRPr="007A4121">
        <w:rPr>
          <w:i/>
          <w:sz w:val="22"/>
          <w:szCs w:val="22"/>
        </w:rPr>
        <w:t>Guidelines for Protecting Schools and Universities from Military Use during Armed Conflict</w:t>
      </w:r>
      <w:r w:rsidRPr="007A4121">
        <w:rPr>
          <w:rFonts w:eastAsia="Times New Roman" w:cs="Times New Roman"/>
          <w:sz w:val="22"/>
          <w:szCs w:val="22"/>
          <w:shd w:val="clear" w:color="auto" w:fill="FFFFFF"/>
          <w:lang w:eastAsia="en-US"/>
        </w:rPr>
        <w:t xml:space="preserve"> in military doctrine and practice</w:t>
      </w:r>
      <w:r w:rsidR="00FE3D27" w:rsidRPr="007A4121">
        <w:rPr>
          <w:rFonts w:eastAsia="Times New Roman" w:cs="Times New Roman"/>
          <w:sz w:val="22"/>
          <w:szCs w:val="22"/>
          <w:shd w:val="clear" w:color="auto" w:fill="FFFFFF"/>
          <w:lang w:eastAsia="en-US"/>
        </w:rPr>
        <w:t xml:space="preserve"> worldwide</w:t>
      </w:r>
      <w:r w:rsidRPr="007A4121">
        <w:rPr>
          <w:rFonts w:eastAsia="Times New Roman" w:cs="Times New Roman"/>
          <w:sz w:val="22"/>
          <w:szCs w:val="22"/>
          <w:shd w:val="clear" w:color="auto" w:fill="FFFFFF"/>
          <w:lang w:eastAsia="en-US"/>
        </w:rPr>
        <w:t>.</w:t>
      </w:r>
      <w:r w:rsidRPr="002F4663">
        <w:rPr>
          <w:rFonts w:eastAsia="Times New Roman" w:cs="Times New Roman"/>
          <w:sz w:val="22"/>
          <w:szCs w:val="22"/>
          <w:shd w:val="clear" w:color="auto" w:fill="FFFFFF"/>
          <w:lang w:eastAsia="en-US"/>
        </w:rPr>
        <w:t xml:space="preserve"> </w:t>
      </w:r>
    </w:p>
    <w:p w14:paraId="45F464DB" w14:textId="77777777" w:rsidR="00A20EFB" w:rsidRDefault="00A20EFB" w:rsidP="00A20EFB">
      <w:pPr>
        <w:pStyle w:val="Heading2"/>
        <w:spacing w:before="0"/>
      </w:pPr>
      <w:bookmarkStart w:id="12" w:name="h.4d34og8" w:colFirst="0" w:colLast="0"/>
      <w:bookmarkEnd w:id="12"/>
    </w:p>
    <w:p w14:paraId="56D94EF2" w14:textId="20253F3F" w:rsidR="0015324C" w:rsidRPr="00B95C6C" w:rsidRDefault="00AA4CA8" w:rsidP="00A20EFB">
      <w:pPr>
        <w:pStyle w:val="Heading2"/>
        <w:spacing w:before="0"/>
      </w:pPr>
      <w:bookmarkStart w:id="13" w:name="_Toc412485698"/>
      <w:r>
        <w:t xml:space="preserve">2.2 </w:t>
      </w:r>
      <w:r w:rsidR="0015324C" w:rsidRPr="00B95C6C">
        <w:t>Specific Objectives</w:t>
      </w:r>
      <w:bookmarkEnd w:id="13"/>
    </w:p>
    <w:p w14:paraId="69B6704E" w14:textId="77777777" w:rsidR="0015324C" w:rsidRPr="00B95C6C" w:rsidRDefault="0015324C" w:rsidP="00A20EFB">
      <w:pPr>
        <w:pStyle w:val="Normal1"/>
        <w:spacing w:after="0"/>
        <w:jc w:val="both"/>
        <w:rPr>
          <w:rFonts w:asciiTheme="minorHAnsi" w:hAnsiTheme="minorHAnsi"/>
          <w:sz w:val="22"/>
          <w:szCs w:val="22"/>
        </w:rPr>
      </w:pPr>
    </w:p>
    <w:tbl>
      <w:tblPr>
        <w:tblW w:w="85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281"/>
      </w:tblGrid>
      <w:tr w:rsidR="0015324C" w:rsidRPr="00B95C6C" w14:paraId="17DC1E1B" w14:textId="77777777" w:rsidTr="0015324C">
        <w:tc>
          <w:tcPr>
            <w:tcW w:w="2235" w:type="dxa"/>
          </w:tcPr>
          <w:p w14:paraId="16FF4ABD" w14:textId="77777777" w:rsidR="0015324C" w:rsidRPr="00FE3D27" w:rsidRDefault="0015324C" w:rsidP="00A20EFB">
            <w:pPr>
              <w:pStyle w:val="Normal1"/>
              <w:spacing w:after="0"/>
              <w:jc w:val="both"/>
              <w:rPr>
                <w:rFonts w:asciiTheme="minorHAnsi" w:hAnsiTheme="minorHAnsi"/>
                <w:b/>
                <w:sz w:val="22"/>
                <w:szCs w:val="22"/>
              </w:rPr>
            </w:pPr>
            <w:r w:rsidRPr="00FE3D27">
              <w:rPr>
                <w:rFonts w:asciiTheme="minorHAnsi" w:hAnsiTheme="minorHAnsi"/>
                <w:b/>
                <w:sz w:val="22"/>
                <w:szCs w:val="22"/>
              </w:rPr>
              <w:t>Phase 1</w:t>
            </w:r>
          </w:p>
          <w:p w14:paraId="361298B3" w14:textId="77777777" w:rsidR="0015324C" w:rsidRPr="00FE3D27" w:rsidRDefault="0015324C" w:rsidP="00A20EFB">
            <w:pPr>
              <w:pStyle w:val="Normal1"/>
              <w:spacing w:after="0"/>
              <w:jc w:val="both"/>
              <w:rPr>
                <w:rFonts w:asciiTheme="minorHAnsi" w:hAnsiTheme="minorHAnsi"/>
                <w:b/>
                <w:sz w:val="22"/>
                <w:szCs w:val="22"/>
              </w:rPr>
            </w:pPr>
            <w:r w:rsidRPr="00FE3D27">
              <w:rPr>
                <w:rFonts w:asciiTheme="minorHAnsi" w:hAnsiTheme="minorHAnsi"/>
                <w:b/>
                <w:sz w:val="22"/>
                <w:szCs w:val="22"/>
              </w:rPr>
              <w:t>Jan-June 2015</w:t>
            </w:r>
          </w:p>
          <w:p w14:paraId="0278DE47" w14:textId="77777777" w:rsidR="00FE3D27" w:rsidRDefault="00FE3D27" w:rsidP="00A20EFB">
            <w:pPr>
              <w:pStyle w:val="Normal1"/>
              <w:spacing w:after="0"/>
              <w:jc w:val="both"/>
              <w:rPr>
                <w:rFonts w:asciiTheme="minorHAnsi" w:hAnsiTheme="minorHAnsi"/>
                <w:sz w:val="22"/>
                <w:szCs w:val="22"/>
              </w:rPr>
            </w:pPr>
          </w:p>
          <w:p w14:paraId="5AE2E570" w14:textId="71F3F5B3" w:rsidR="00FE3D27" w:rsidRPr="00B95C6C" w:rsidRDefault="00FE3D27" w:rsidP="00A20EFB">
            <w:pPr>
              <w:pStyle w:val="Normal1"/>
              <w:spacing w:after="0"/>
              <w:jc w:val="both"/>
              <w:rPr>
                <w:rFonts w:asciiTheme="minorHAnsi" w:hAnsiTheme="minorHAnsi"/>
                <w:sz w:val="22"/>
                <w:szCs w:val="22"/>
              </w:rPr>
            </w:pPr>
            <w:r w:rsidRPr="00FE3D27">
              <w:rPr>
                <w:rFonts w:asciiTheme="minorHAnsi" w:hAnsiTheme="minorHAnsi"/>
                <w:b/>
                <w:sz w:val="22"/>
                <w:szCs w:val="22"/>
              </w:rPr>
              <w:t>Focus:</w:t>
            </w:r>
            <w:r>
              <w:rPr>
                <w:rFonts w:asciiTheme="minorHAnsi" w:hAnsiTheme="minorHAnsi"/>
                <w:sz w:val="22"/>
                <w:szCs w:val="22"/>
              </w:rPr>
              <w:t xml:space="preserve"> political endorsement process (Safe Schools Declaration)</w:t>
            </w:r>
          </w:p>
        </w:tc>
        <w:tc>
          <w:tcPr>
            <w:tcW w:w="6281" w:type="dxa"/>
          </w:tcPr>
          <w:p w14:paraId="4D88DD0B" w14:textId="29A3A681" w:rsidR="0015324C" w:rsidRPr="00B95C6C" w:rsidRDefault="0015324C" w:rsidP="00A9649E">
            <w:pPr>
              <w:pStyle w:val="Normal1"/>
              <w:numPr>
                <w:ilvl w:val="0"/>
                <w:numId w:val="2"/>
              </w:numPr>
              <w:spacing w:after="0"/>
              <w:ind w:hanging="359"/>
              <w:contextualSpacing/>
              <w:jc w:val="both"/>
              <w:rPr>
                <w:rFonts w:asciiTheme="minorHAnsi" w:hAnsiTheme="minorHAnsi"/>
                <w:sz w:val="22"/>
                <w:szCs w:val="22"/>
              </w:rPr>
            </w:pPr>
            <w:r w:rsidRPr="00B95C6C">
              <w:rPr>
                <w:rFonts w:asciiTheme="minorHAnsi" w:hAnsiTheme="minorHAnsi"/>
                <w:sz w:val="22"/>
                <w:szCs w:val="22"/>
              </w:rPr>
              <w:t>By June 2015, ensure that</w:t>
            </w:r>
            <w:r w:rsidR="00B93641" w:rsidRPr="00B95C6C">
              <w:rPr>
                <w:rFonts w:asciiTheme="minorHAnsi" w:hAnsiTheme="minorHAnsi" w:cs="Times New Roman"/>
                <w:color w:val="222222"/>
                <w:sz w:val="22"/>
                <w:szCs w:val="22"/>
                <w:lang w:val="en-US"/>
              </w:rPr>
              <w:t xml:space="preserve"> GCPEA’s recommendations are integrated in</w:t>
            </w:r>
            <w:r w:rsidRPr="00B95C6C">
              <w:rPr>
                <w:rFonts w:asciiTheme="minorHAnsi" w:hAnsiTheme="minorHAnsi"/>
                <w:sz w:val="22"/>
                <w:szCs w:val="22"/>
              </w:rPr>
              <w:t xml:space="preserve"> the Safe Schools Declaration includ</w:t>
            </w:r>
            <w:r w:rsidR="00AD3F90" w:rsidRPr="00B95C6C">
              <w:rPr>
                <w:rFonts w:asciiTheme="minorHAnsi" w:hAnsiTheme="minorHAnsi"/>
                <w:sz w:val="22"/>
                <w:szCs w:val="22"/>
              </w:rPr>
              <w:t>ing</w:t>
            </w:r>
            <w:r w:rsidRPr="00B95C6C">
              <w:rPr>
                <w:rFonts w:asciiTheme="minorHAnsi" w:hAnsiTheme="minorHAnsi"/>
                <w:sz w:val="22"/>
                <w:szCs w:val="22"/>
              </w:rPr>
              <w:t xml:space="preserve"> a commitment to implement the Guidelines </w:t>
            </w:r>
            <w:r w:rsidR="00B93641" w:rsidRPr="00B95C6C">
              <w:rPr>
                <w:rFonts w:asciiTheme="minorHAnsi" w:hAnsiTheme="minorHAnsi" w:cs="Times New Roman"/>
                <w:color w:val="222222"/>
                <w:sz w:val="22"/>
                <w:szCs w:val="22"/>
                <w:lang w:val="en-US"/>
              </w:rPr>
              <w:t>and a reference to the Guidelines in their entirety</w:t>
            </w:r>
          </w:p>
          <w:p w14:paraId="1694C34B" w14:textId="77777777" w:rsidR="0015324C" w:rsidRPr="00B95C6C" w:rsidRDefault="0015324C" w:rsidP="00A9649E">
            <w:pPr>
              <w:pStyle w:val="Normal1"/>
              <w:numPr>
                <w:ilvl w:val="0"/>
                <w:numId w:val="2"/>
              </w:numPr>
              <w:spacing w:after="0"/>
              <w:ind w:hanging="359"/>
              <w:contextualSpacing/>
              <w:jc w:val="both"/>
              <w:rPr>
                <w:rFonts w:asciiTheme="minorHAnsi" w:hAnsiTheme="minorHAnsi"/>
                <w:sz w:val="22"/>
                <w:szCs w:val="22"/>
              </w:rPr>
            </w:pPr>
            <w:r w:rsidRPr="00B95C6C">
              <w:rPr>
                <w:rFonts w:asciiTheme="minorHAnsi" w:hAnsiTheme="minorHAnsi"/>
                <w:sz w:val="22"/>
                <w:szCs w:val="22"/>
              </w:rPr>
              <w:t>At the June Conference, at least 30 countries commit to implementing the Guidelines by “endorsing” the Safe Schools Declaration.</w:t>
            </w:r>
          </w:p>
          <w:p w14:paraId="6414D4FB" w14:textId="11FBD6C6" w:rsidR="0015324C" w:rsidRPr="00B95C6C" w:rsidRDefault="0015324C" w:rsidP="00A9649E">
            <w:pPr>
              <w:pStyle w:val="Normal1"/>
              <w:numPr>
                <w:ilvl w:val="0"/>
                <w:numId w:val="2"/>
              </w:numPr>
              <w:spacing w:after="0"/>
              <w:ind w:hanging="359"/>
              <w:contextualSpacing/>
              <w:jc w:val="both"/>
              <w:rPr>
                <w:rFonts w:asciiTheme="minorHAnsi" w:hAnsiTheme="minorHAnsi"/>
                <w:sz w:val="22"/>
                <w:szCs w:val="22"/>
              </w:rPr>
            </w:pPr>
            <w:r w:rsidRPr="00B95C6C">
              <w:rPr>
                <w:rFonts w:asciiTheme="minorHAnsi" w:hAnsiTheme="minorHAnsi"/>
                <w:sz w:val="22"/>
                <w:szCs w:val="22"/>
              </w:rPr>
              <w:t xml:space="preserve">A </w:t>
            </w:r>
            <w:r w:rsidR="00BB63C3" w:rsidRPr="00D85E49">
              <w:rPr>
                <w:rFonts w:asciiTheme="minorHAnsi" w:hAnsiTheme="minorHAnsi"/>
                <w:sz w:val="22"/>
                <w:szCs w:val="22"/>
              </w:rPr>
              <w:t xml:space="preserve">post-endorsement </w:t>
            </w:r>
            <w:r w:rsidR="00D85E49" w:rsidRPr="00D85E49">
              <w:rPr>
                <w:rFonts w:asciiTheme="minorHAnsi" w:hAnsiTheme="minorHAnsi"/>
                <w:sz w:val="22"/>
                <w:szCs w:val="22"/>
              </w:rPr>
              <w:t xml:space="preserve">implementation monitoring process </w:t>
            </w:r>
            <w:r w:rsidRPr="00D85E49">
              <w:rPr>
                <w:rFonts w:asciiTheme="minorHAnsi" w:hAnsiTheme="minorHAnsi"/>
                <w:sz w:val="22"/>
                <w:szCs w:val="22"/>
              </w:rPr>
              <w:t>is tabled for discussion at the Oslo Conference in June 2015</w:t>
            </w:r>
          </w:p>
          <w:p w14:paraId="204F28C7" w14:textId="09DB7A24" w:rsidR="0015324C" w:rsidRPr="00AE6AB7" w:rsidRDefault="0015324C" w:rsidP="00A9649E">
            <w:pPr>
              <w:pStyle w:val="Normal1"/>
              <w:numPr>
                <w:ilvl w:val="0"/>
                <w:numId w:val="2"/>
              </w:numPr>
              <w:spacing w:after="0"/>
              <w:ind w:hanging="359"/>
              <w:contextualSpacing/>
              <w:jc w:val="both"/>
              <w:rPr>
                <w:rFonts w:asciiTheme="minorHAnsi" w:hAnsiTheme="minorHAnsi"/>
                <w:sz w:val="22"/>
                <w:szCs w:val="22"/>
              </w:rPr>
            </w:pPr>
            <w:r w:rsidRPr="00B95C6C">
              <w:rPr>
                <w:rFonts w:asciiTheme="minorHAnsi" w:hAnsiTheme="minorHAnsi"/>
                <w:sz w:val="22"/>
                <w:szCs w:val="22"/>
              </w:rPr>
              <w:t>By June, three</w:t>
            </w:r>
            <w:r w:rsidRPr="00B95C6C">
              <w:rPr>
                <w:rFonts w:asciiTheme="minorHAnsi" w:hAnsiTheme="minorHAnsi"/>
                <w:color w:val="FF0000"/>
                <w:sz w:val="22"/>
                <w:szCs w:val="22"/>
              </w:rPr>
              <w:t xml:space="preserve"> </w:t>
            </w:r>
            <w:r w:rsidRPr="00B95C6C">
              <w:rPr>
                <w:rFonts w:asciiTheme="minorHAnsi" w:hAnsiTheme="minorHAnsi"/>
                <w:sz w:val="22"/>
                <w:szCs w:val="22"/>
              </w:rPr>
              <w:t xml:space="preserve">countries begin taking steps towards implementing the </w:t>
            </w:r>
            <w:r w:rsidRPr="00B95C6C">
              <w:rPr>
                <w:rFonts w:asciiTheme="minorHAnsi" w:hAnsiTheme="minorHAnsi"/>
                <w:i/>
                <w:sz w:val="22"/>
                <w:szCs w:val="22"/>
              </w:rPr>
              <w:t xml:space="preserve">Guidelines. </w:t>
            </w:r>
          </w:p>
        </w:tc>
      </w:tr>
      <w:tr w:rsidR="0015324C" w:rsidRPr="00B95C6C" w14:paraId="18B7322D" w14:textId="77777777" w:rsidTr="0015324C">
        <w:tc>
          <w:tcPr>
            <w:tcW w:w="2235" w:type="dxa"/>
          </w:tcPr>
          <w:p w14:paraId="727BB40B" w14:textId="77777777" w:rsidR="0015324C" w:rsidRPr="00FE3D27" w:rsidRDefault="0015324C" w:rsidP="00A20EFB">
            <w:pPr>
              <w:pStyle w:val="Normal1"/>
              <w:spacing w:after="0"/>
              <w:jc w:val="both"/>
              <w:rPr>
                <w:rFonts w:asciiTheme="minorHAnsi" w:hAnsiTheme="minorHAnsi"/>
                <w:b/>
                <w:sz w:val="22"/>
                <w:szCs w:val="22"/>
              </w:rPr>
            </w:pPr>
            <w:r w:rsidRPr="00FE3D27">
              <w:rPr>
                <w:rFonts w:asciiTheme="minorHAnsi" w:hAnsiTheme="minorHAnsi"/>
                <w:b/>
                <w:sz w:val="22"/>
                <w:szCs w:val="22"/>
              </w:rPr>
              <w:t>Phase 2</w:t>
            </w:r>
          </w:p>
          <w:p w14:paraId="3725BECE" w14:textId="77777777" w:rsidR="0015324C" w:rsidRPr="00FE3D27" w:rsidRDefault="0015324C" w:rsidP="00A20EFB">
            <w:pPr>
              <w:pStyle w:val="Normal1"/>
              <w:spacing w:after="0"/>
              <w:jc w:val="both"/>
              <w:rPr>
                <w:rFonts w:asciiTheme="minorHAnsi" w:hAnsiTheme="minorHAnsi"/>
                <w:b/>
                <w:sz w:val="22"/>
                <w:szCs w:val="22"/>
              </w:rPr>
            </w:pPr>
            <w:r w:rsidRPr="00FE3D27">
              <w:rPr>
                <w:rFonts w:asciiTheme="minorHAnsi" w:hAnsiTheme="minorHAnsi"/>
                <w:b/>
                <w:sz w:val="22"/>
                <w:szCs w:val="22"/>
              </w:rPr>
              <w:t>Jul-Dec 2015</w:t>
            </w:r>
          </w:p>
          <w:p w14:paraId="3E15A919" w14:textId="77777777" w:rsidR="00FE3D27" w:rsidRDefault="00FE3D27" w:rsidP="00A20EFB">
            <w:pPr>
              <w:pStyle w:val="Normal1"/>
              <w:spacing w:after="0"/>
              <w:jc w:val="both"/>
              <w:rPr>
                <w:rFonts w:asciiTheme="minorHAnsi" w:hAnsiTheme="minorHAnsi"/>
                <w:sz w:val="22"/>
                <w:szCs w:val="22"/>
              </w:rPr>
            </w:pPr>
          </w:p>
          <w:p w14:paraId="0EB6F9B8" w14:textId="6004E9C4" w:rsidR="00FE3D27" w:rsidRPr="00B95C6C" w:rsidRDefault="00FE3D27" w:rsidP="00A20EFB">
            <w:pPr>
              <w:pStyle w:val="Normal1"/>
              <w:spacing w:after="0"/>
              <w:jc w:val="both"/>
              <w:rPr>
                <w:rFonts w:asciiTheme="minorHAnsi" w:hAnsiTheme="minorHAnsi"/>
                <w:sz w:val="22"/>
                <w:szCs w:val="22"/>
              </w:rPr>
            </w:pPr>
            <w:r w:rsidRPr="00FE3D27">
              <w:rPr>
                <w:rFonts w:asciiTheme="minorHAnsi" w:hAnsiTheme="minorHAnsi"/>
                <w:b/>
                <w:sz w:val="22"/>
                <w:szCs w:val="22"/>
              </w:rPr>
              <w:t>Focus:</w:t>
            </w:r>
            <w:r>
              <w:rPr>
                <w:rFonts w:asciiTheme="minorHAnsi" w:hAnsiTheme="minorHAnsi"/>
                <w:sz w:val="22"/>
                <w:szCs w:val="22"/>
              </w:rPr>
              <w:t xml:space="preserve"> implementation of the Guidelines and expansion of political buy-in</w:t>
            </w:r>
          </w:p>
        </w:tc>
        <w:tc>
          <w:tcPr>
            <w:tcW w:w="6281" w:type="dxa"/>
          </w:tcPr>
          <w:p w14:paraId="1C96B4BA" w14:textId="12CE9937" w:rsidR="0015324C" w:rsidRPr="00B95C6C" w:rsidRDefault="0015324C" w:rsidP="00A9649E">
            <w:pPr>
              <w:pStyle w:val="Normal1"/>
              <w:numPr>
                <w:ilvl w:val="0"/>
                <w:numId w:val="2"/>
              </w:numPr>
              <w:spacing w:after="0"/>
              <w:ind w:hanging="359"/>
              <w:contextualSpacing/>
              <w:jc w:val="both"/>
              <w:rPr>
                <w:rFonts w:asciiTheme="minorHAnsi" w:hAnsiTheme="minorHAnsi"/>
                <w:sz w:val="22"/>
                <w:szCs w:val="22"/>
              </w:rPr>
            </w:pPr>
            <w:r w:rsidRPr="00B95C6C">
              <w:rPr>
                <w:rFonts w:asciiTheme="minorHAnsi" w:hAnsiTheme="minorHAnsi"/>
                <w:sz w:val="22"/>
                <w:szCs w:val="22"/>
              </w:rPr>
              <w:t xml:space="preserve">By the end of 2015, </w:t>
            </w:r>
            <w:r w:rsidR="00D85E49">
              <w:rPr>
                <w:rFonts w:asciiTheme="minorHAnsi" w:hAnsiTheme="minorHAnsi"/>
                <w:sz w:val="22"/>
                <w:szCs w:val="22"/>
              </w:rPr>
              <w:t>five a</w:t>
            </w:r>
            <w:r w:rsidRPr="00B95C6C">
              <w:rPr>
                <w:rFonts w:asciiTheme="minorHAnsi" w:hAnsiTheme="minorHAnsi"/>
                <w:sz w:val="22"/>
                <w:szCs w:val="22"/>
              </w:rPr>
              <w:t>dditional countries commit to implementing the Guidelines by “endorsing” the Safe Schools Declaration.</w:t>
            </w:r>
            <w:r w:rsidR="00BB63C3" w:rsidRPr="00B95C6C">
              <w:rPr>
                <w:rStyle w:val="FootnoteReference"/>
                <w:rFonts w:asciiTheme="minorHAnsi" w:hAnsiTheme="minorHAnsi"/>
                <w:sz w:val="22"/>
                <w:szCs w:val="22"/>
              </w:rPr>
              <w:footnoteReference w:id="4"/>
            </w:r>
          </w:p>
          <w:p w14:paraId="5CA015D7" w14:textId="6C5EC202" w:rsidR="0015324C" w:rsidRPr="00B95C6C" w:rsidRDefault="0015324C" w:rsidP="00A9649E">
            <w:pPr>
              <w:pStyle w:val="Normal1"/>
              <w:numPr>
                <w:ilvl w:val="0"/>
                <w:numId w:val="2"/>
              </w:numPr>
              <w:spacing w:after="0"/>
              <w:ind w:hanging="359"/>
              <w:contextualSpacing/>
              <w:jc w:val="both"/>
              <w:rPr>
                <w:rFonts w:asciiTheme="minorHAnsi" w:hAnsiTheme="minorHAnsi"/>
                <w:sz w:val="22"/>
                <w:szCs w:val="22"/>
              </w:rPr>
            </w:pPr>
            <w:r w:rsidRPr="00B95C6C">
              <w:rPr>
                <w:rFonts w:asciiTheme="minorHAnsi" w:hAnsiTheme="minorHAnsi"/>
                <w:sz w:val="22"/>
                <w:szCs w:val="22"/>
              </w:rPr>
              <w:t xml:space="preserve">By December 2015, at least </w:t>
            </w:r>
            <w:r w:rsidR="00D85E49">
              <w:rPr>
                <w:rFonts w:asciiTheme="minorHAnsi" w:hAnsiTheme="minorHAnsi"/>
                <w:sz w:val="22"/>
                <w:szCs w:val="22"/>
              </w:rPr>
              <w:t xml:space="preserve">three </w:t>
            </w:r>
            <w:r w:rsidRPr="00B95C6C">
              <w:rPr>
                <w:rFonts w:asciiTheme="minorHAnsi" w:hAnsiTheme="minorHAnsi"/>
                <w:sz w:val="22"/>
                <w:szCs w:val="22"/>
              </w:rPr>
              <w:t xml:space="preserve">additional countries begin incorporating the </w:t>
            </w:r>
            <w:r w:rsidRPr="00B95C6C">
              <w:rPr>
                <w:rFonts w:asciiTheme="minorHAnsi" w:hAnsiTheme="minorHAnsi"/>
                <w:i/>
                <w:sz w:val="22"/>
                <w:szCs w:val="22"/>
              </w:rPr>
              <w:t>Guidelines</w:t>
            </w:r>
            <w:r w:rsidRPr="00B95C6C">
              <w:rPr>
                <w:rFonts w:asciiTheme="minorHAnsi" w:hAnsiTheme="minorHAnsi"/>
                <w:sz w:val="22"/>
                <w:szCs w:val="22"/>
              </w:rPr>
              <w:t xml:space="preserve"> into domestic policies, legislation and/or military doctrine.</w:t>
            </w:r>
          </w:p>
          <w:p w14:paraId="41D1625C" w14:textId="6C868EA0" w:rsidR="0015324C" w:rsidRPr="00AE6AB7" w:rsidRDefault="0015324C" w:rsidP="00A9649E">
            <w:pPr>
              <w:pStyle w:val="Normal1"/>
              <w:numPr>
                <w:ilvl w:val="0"/>
                <w:numId w:val="2"/>
              </w:numPr>
              <w:spacing w:after="0"/>
              <w:ind w:hanging="359"/>
              <w:contextualSpacing/>
              <w:jc w:val="both"/>
              <w:rPr>
                <w:rFonts w:asciiTheme="minorHAnsi" w:hAnsiTheme="minorHAnsi"/>
                <w:sz w:val="22"/>
                <w:szCs w:val="22"/>
              </w:rPr>
            </w:pPr>
            <w:r w:rsidRPr="00B95C6C">
              <w:rPr>
                <w:rFonts w:asciiTheme="minorHAnsi" w:hAnsiTheme="minorHAnsi"/>
                <w:sz w:val="22"/>
                <w:szCs w:val="22"/>
              </w:rPr>
              <w:t xml:space="preserve">By December 2015, the </w:t>
            </w:r>
            <w:r w:rsidRPr="00B95C6C">
              <w:rPr>
                <w:rFonts w:asciiTheme="minorHAnsi" w:hAnsiTheme="minorHAnsi"/>
                <w:i/>
                <w:sz w:val="22"/>
                <w:szCs w:val="22"/>
              </w:rPr>
              <w:t>Guidelines</w:t>
            </w:r>
            <w:r w:rsidRPr="00B95C6C">
              <w:rPr>
                <w:rFonts w:asciiTheme="minorHAnsi" w:hAnsiTheme="minorHAnsi"/>
                <w:sz w:val="22"/>
                <w:szCs w:val="22"/>
              </w:rPr>
              <w:t xml:space="preserve"> are referenced in </w:t>
            </w:r>
            <w:r w:rsidR="00810C64">
              <w:rPr>
                <w:rFonts w:asciiTheme="minorHAnsi" w:hAnsiTheme="minorHAnsi"/>
                <w:sz w:val="22"/>
                <w:szCs w:val="22"/>
              </w:rPr>
              <w:t xml:space="preserve">at </w:t>
            </w:r>
            <w:r w:rsidRPr="00B95C6C">
              <w:rPr>
                <w:rFonts w:asciiTheme="minorHAnsi" w:hAnsiTheme="minorHAnsi"/>
                <w:sz w:val="22"/>
                <w:szCs w:val="22"/>
              </w:rPr>
              <w:t xml:space="preserve">least four global mechanisms and initiatives relating to education and protection of children and civilians in armed conflict as a means to enhance the dissemination of and global support for the </w:t>
            </w:r>
            <w:r w:rsidRPr="00B95C6C">
              <w:rPr>
                <w:rFonts w:asciiTheme="minorHAnsi" w:hAnsiTheme="minorHAnsi"/>
                <w:i/>
                <w:sz w:val="22"/>
                <w:szCs w:val="22"/>
              </w:rPr>
              <w:t>Guidelines</w:t>
            </w:r>
            <w:r w:rsidRPr="00B95C6C">
              <w:rPr>
                <w:rFonts w:asciiTheme="minorHAnsi" w:hAnsiTheme="minorHAnsi"/>
                <w:sz w:val="22"/>
                <w:szCs w:val="22"/>
              </w:rPr>
              <w:t>.</w:t>
            </w:r>
          </w:p>
        </w:tc>
      </w:tr>
      <w:tr w:rsidR="0015324C" w:rsidRPr="00B95C6C" w14:paraId="1B6831E2" w14:textId="77777777" w:rsidTr="0015324C">
        <w:tc>
          <w:tcPr>
            <w:tcW w:w="2235" w:type="dxa"/>
          </w:tcPr>
          <w:p w14:paraId="470C9827" w14:textId="77777777" w:rsidR="0015324C" w:rsidRPr="00FE3D27" w:rsidRDefault="0015324C" w:rsidP="00A20EFB">
            <w:pPr>
              <w:pStyle w:val="Normal1"/>
              <w:spacing w:after="0"/>
              <w:jc w:val="both"/>
              <w:rPr>
                <w:rFonts w:asciiTheme="minorHAnsi" w:hAnsiTheme="minorHAnsi"/>
                <w:b/>
                <w:sz w:val="22"/>
                <w:szCs w:val="22"/>
              </w:rPr>
            </w:pPr>
            <w:r w:rsidRPr="00FE3D27">
              <w:rPr>
                <w:rFonts w:asciiTheme="minorHAnsi" w:hAnsiTheme="minorHAnsi"/>
                <w:b/>
                <w:sz w:val="22"/>
                <w:szCs w:val="22"/>
              </w:rPr>
              <w:t>Phase 3</w:t>
            </w:r>
          </w:p>
          <w:p w14:paraId="3788DB32" w14:textId="77777777" w:rsidR="0015324C" w:rsidRPr="00FE3D27" w:rsidRDefault="0015324C" w:rsidP="00A20EFB">
            <w:pPr>
              <w:pStyle w:val="Normal1"/>
              <w:spacing w:after="0"/>
              <w:jc w:val="both"/>
              <w:rPr>
                <w:rFonts w:asciiTheme="minorHAnsi" w:hAnsiTheme="minorHAnsi"/>
                <w:b/>
                <w:sz w:val="22"/>
                <w:szCs w:val="22"/>
              </w:rPr>
            </w:pPr>
            <w:r w:rsidRPr="00FE3D27">
              <w:rPr>
                <w:rFonts w:asciiTheme="minorHAnsi" w:hAnsiTheme="minorHAnsi"/>
                <w:b/>
                <w:sz w:val="22"/>
                <w:szCs w:val="22"/>
              </w:rPr>
              <w:t>Jan-June 2016</w:t>
            </w:r>
          </w:p>
          <w:p w14:paraId="184DE296" w14:textId="77777777" w:rsidR="00FE3D27" w:rsidRDefault="00FE3D27" w:rsidP="00A20EFB">
            <w:pPr>
              <w:pStyle w:val="Normal1"/>
              <w:spacing w:after="0"/>
              <w:jc w:val="both"/>
              <w:rPr>
                <w:rFonts w:asciiTheme="minorHAnsi" w:hAnsiTheme="minorHAnsi"/>
                <w:sz w:val="22"/>
                <w:szCs w:val="22"/>
              </w:rPr>
            </w:pPr>
          </w:p>
          <w:p w14:paraId="4935E5A9" w14:textId="7EFA4AA9" w:rsidR="00FE3D27" w:rsidRPr="00B95C6C" w:rsidRDefault="00FE3D27" w:rsidP="00A20EFB">
            <w:pPr>
              <w:pStyle w:val="Normal1"/>
              <w:spacing w:after="0"/>
              <w:jc w:val="both"/>
              <w:rPr>
                <w:rFonts w:asciiTheme="minorHAnsi" w:hAnsiTheme="minorHAnsi"/>
                <w:sz w:val="22"/>
                <w:szCs w:val="22"/>
              </w:rPr>
            </w:pPr>
            <w:r w:rsidRPr="00FE3D27">
              <w:rPr>
                <w:rFonts w:asciiTheme="minorHAnsi" w:hAnsiTheme="minorHAnsi"/>
                <w:b/>
                <w:sz w:val="22"/>
                <w:szCs w:val="22"/>
              </w:rPr>
              <w:t>Focus:</w:t>
            </w:r>
            <w:r>
              <w:rPr>
                <w:rFonts w:asciiTheme="minorHAnsi" w:hAnsiTheme="minorHAnsi"/>
                <w:sz w:val="22"/>
                <w:szCs w:val="22"/>
              </w:rPr>
              <w:t xml:space="preserve"> strengthen implementation of the Guidelines</w:t>
            </w:r>
          </w:p>
        </w:tc>
        <w:tc>
          <w:tcPr>
            <w:tcW w:w="6281" w:type="dxa"/>
          </w:tcPr>
          <w:p w14:paraId="33B867E6" w14:textId="57E560AB" w:rsidR="0015324C" w:rsidRPr="00B95C6C" w:rsidRDefault="00D85E49" w:rsidP="00A9649E">
            <w:pPr>
              <w:pStyle w:val="Normal1"/>
              <w:numPr>
                <w:ilvl w:val="0"/>
                <w:numId w:val="2"/>
              </w:numPr>
              <w:spacing w:after="0"/>
              <w:ind w:left="714" w:hanging="356"/>
              <w:contextualSpacing/>
              <w:jc w:val="both"/>
              <w:rPr>
                <w:rFonts w:asciiTheme="minorHAnsi" w:hAnsiTheme="minorHAnsi"/>
                <w:sz w:val="22"/>
                <w:szCs w:val="22"/>
              </w:rPr>
            </w:pPr>
            <w:r>
              <w:rPr>
                <w:rFonts w:asciiTheme="minorHAnsi" w:hAnsiTheme="minorHAnsi"/>
                <w:sz w:val="22"/>
                <w:szCs w:val="22"/>
              </w:rPr>
              <w:t xml:space="preserve">Between January and June </w:t>
            </w:r>
            <w:r w:rsidR="0015324C" w:rsidRPr="00B95C6C">
              <w:rPr>
                <w:rFonts w:asciiTheme="minorHAnsi" w:hAnsiTheme="minorHAnsi"/>
                <w:sz w:val="22"/>
                <w:szCs w:val="22"/>
              </w:rPr>
              <w:t xml:space="preserve">2016 at least </w:t>
            </w:r>
            <w:r w:rsidR="0039724C">
              <w:rPr>
                <w:rFonts w:asciiTheme="minorHAnsi" w:hAnsiTheme="minorHAnsi"/>
                <w:sz w:val="22"/>
                <w:szCs w:val="22"/>
              </w:rPr>
              <w:t>five</w:t>
            </w:r>
            <w:r w:rsidR="0015324C" w:rsidRPr="00B95C6C">
              <w:rPr>
                <w:rFonts w:asciiTheme="minorHAnsi" w:hAnsiTheme="minorHAnsi"/>
                <w:sz w:val="22"/>
                <w:szCs w:val="22"/>
              </w:rPr>
              <w:t xml:space="preserve"> additional countries begin incorporating the </w:t>
            </w:r>
            <w:r w:rsidR="0015324C" w:rsidRPr="00B95C6C">
              <w:rPr>
                <w:rFonts w:asciiTheme="minorHAnsi" w:hAnsiTheme="minorHAnsi"/>
                <w:i/>
                <w:sz w:val="22"/>
                <w:szCs w:val="22"/>
              </w:rPr>
              <w:t>Guidelines</w:t>
            </w:r>
            <w:r w:rsidR="0015324C" w:rsidRPr="00B95C6C">
              <w:rPr>
                <w:rFonts w:asciiTheme="minorHAnsi" w:hAnsiTheme="minorHAnsi"/>
                <w:sz w:val="22"/>
                <w:szCs w:val="22"/>
              </w:rPr>
              <w:t xml:space="preserve"> into domestic policies, legislation and/or military doctrine. </w:t>
            </w:r>
          </w:p>
          <w:p w14:paraId="4476C4C9" w14:textId="45C6DCF5" w:rsidR="0015324C" w:rsidRPr="00B95C6C" w:rsidRDefault="0015324C" w:rsidP="00A9649E">
            <w:pPr>
              <w:pStyle w:val="Normal1"/>
              <w:numPr>
                <w:ilvl w:val="0"/>
                <w:numId w:val="2"/>
              </w:numPr>
              <w:spacing w:after="0"/>
              <w:ind w:left="714" w:hanging="356"/>
              <w:contextualSpacing/>
              <w:jc w:val="both"/>
              <w:rPr>
                <w:rFonts w:asciiTheme="minorHAnsi" w:hAnsiTheme="minorHAnsi"/>
                <w:sz w:val="22"/>
                <w:szCs w:val="22"/>
              </w:rPr>
            </w:pPr>
            <w:r w:rsidRPr="00AE6AB7">
              <w:rPr>
                <w:rFonts w:asciiTheme="minorHAnsi" w:hAnsiTheme="minorHAnsi"/>
                <w:sz w:val="22"/>
                <w:szCs w:val="22"/>
              </w:rPr>
              <w:t xml:space="preserve">By June 2016, at least two non-state armed groups begin incorporating the </w:t>
            </w:r>
            <w:r w:rsidRPr="00AE6AB7">
              <w:rPr>
                <w:rFonts w:asciiTheme="minorHAnsi" w:hAnsiTheme="minorHAnsi"/>
                <w:i/>
                <w:sz w:val="22"/>
                <w:szCs w:val="22"/>
              </w:rPr>
              <w:t>Guidelines</w:t>
            </w:r>
            <w:r w:rsidRPr="00AE6AB7">
              <w:rPr>
                <w:rFonts w:asciiTheme="minorHAnsi" w:hAnsiTheme="minorHAnsi"/>
                <w:sz w:val="22"/>
                <w:szCs w:val="22"/>
              </w:rPr>
              <w:t xml:space="preserve"> in relevant operational and/or and strategic tools and practices.</w:t>
            </w:r>
            <w:r w:rsidR="00AE6AB7" w:rsidRPr="00AE6AB7">
              <w:rPr>
                <w:rStyle w:val="FootnoteReference"/>
                <w:rFonts w:asciiTheme="minorHAnsi" w:hAnsiTheme="minorHAnsi"/>
                <w:sz w:val="22"/>
                <w:szCs w:val="22"/>
              </w:rPr>
              <w:footnoteReference w:id="5"/>
            </w:r>
          </w:p>
        </w:tc>
      </w:tr>
    </w:tbl>
    <w:p w14:paraId="362F9016" w14:textId="283D13DD" w:rsidR="002A74A9" w:rsidRPr="00B95C6C" w:rsidRDefault="002A74A9" w:rsidP="00A20EFB">
      <w:pPr>
        <w:pStyle w:val="Normal1"/>
        <w:spacing w:after="0"/>
        <w:jc w:val="both"/>
        <w:rPr>
          <w:rFonts w:asciiTheme="minorHAnsi" w:hAnsiTheme="minorHAnsi"/>
          <w:sz w:val="22"/>
          <w:szCs w:val="22"/>
        </w:rPr>
      </w:pPr>
    </w:p>
    <w:p w14:paraId="0EACF167" w14:textId="7FFD4B1A" w:rsidR="005340BC" w:rsidRPr="00B95C6C" w:rsidRDefault="005340BC" w:rsidP="00A20EFB">
      <w:pPr>
        <w:pStyle w:val="CommentText"/>
        <w:spacing w:after="0"/>
        <w:rPr>
          <w:sz w:val="22"/>
          <w:szCs w:val="22"/>
        </w:rPr>
        <w:sectPr w:rsidR="005340BC" w:rsidRPr="00B95C6C">
          <w:headerReference w:type="even" r:id="rId13"/>
          <w:headerReference w:type="default" r:id="rId14"/>
          <w:footerReference w:type="even" r:id="rId15"/>
          <w:footerReference w:type="default" r:id="rId16"/>
          <w:headerReference w:type="first" r:id="rId17"/>
          <w:pgSz w:w="11900" w:h="16840"/>
          <w:pgMar w:top="1440" w:right="1800" w:bottom="1440" w:left="1800" w:header="708" w:footer="708" w:gutter="0"/>
          <w:cols w:space="708"/>
          <w:titlePg/>
        </w:sectPr>
      </w:pPr>
    </w:p>
    <w:p w14:paraId="5504EB67" w14:textId="5117EA4F" w:rsidR="0015324C" w:rsidRPr="00FC4270" w:rsidRDefault="0015324C" w:rsidP="00A20EFB">
      <w:pPr>
        <w:pStyle w:val="Heading1"/>
        <w:spacing w:before="0"/>
      </w:pPr>
      <w:bookmarkStart w:id="14" w:name="h.2s8eyo1" w:colFirst="0" w:colLast="0"/>
      <w:bookmarkStart w:id="15" w:name="h.3rdcrjn" w:colFirst="0" w:colLast="0"/>
      <w:bookmarkStart w:id="16" w:name="_Toc412485699"/>
      <w:bookmarkEnd w:id="14"/>
      <w:bookmarkEnd w:id="15"/>
      <w:r w:rsidRPr="00FC4270">
        <w:lastRenderedPageBreak/>
        <w:t xml:space="preserve">Section </w:t>
      </w:r>
      <w:r w:rsidR="002A74A9" w:rsidRPr="00FC4270">
        <w:t>3</w:t>
      </w:r>
      <w:r w:rsidRPr="00FC4270">
        <w:t xml:space="preserve">:  National Level </w:t>
      </w:r>
      <w:r w:rsidR="007F30D1">
        <w:t>Advocacy</w:t>
      </w:r>
      <w:bookmarkEnd w:id="16"/>
    </w:p>
    <w:p w14:paraId="4410058D" w14:textId="77777777" w:rsidR="00A20EFB" w:rsidRDefault="00A20EFB" w:rsidP="00A20EFB">
      <w:pPr>
        <w:pStyle w:val="Heading2"/>
        <w:spacing w:before="0"/>
      </w:pPr>
      <w:bookmarkStart w:id="17" w:name="h.26in1rg" w:colFirst="0" w:colLast="0"/>
      <w:bookmarkEnd w:id="17"/>
    </w:p>
    <w:p w14:paraId="38C7BDC3" w14:textId="10F98970" w:rsidR="0015324C" w:rsidRDefault="00AA4CA8" w:rsidP="00A20EFB">
      <w:pPr>
        <w:pStyle w:val="Heading2"/>
        <w:spacing w:before="0"/>
      </w:pPr>
      <w:bookmarkStart w:id="18" w:name="_Toc412485700"/>
      <w:r>
        <w:t xml:space="preserve">3.1 </w:t>
      </w:r>
      <w:r w:rsidR="0031010D">
        <w:t>Advocacy with</w:t>
      </w:r>
      <w:r w:rsidR="00A20EFB">
        <w:t xml:space="preserve"> government</w:t>
      </w:r>
      <w:r w:rsidR="0031010D">
        <w:t>s</w:t>
      </w:r>
      <w:bookmarkEnd w:id="18"/>
    </w:p>
    <w:p w14:paraId="07F5E488" w14:textId="77777777" w:rsidR="00901356" w:rsidRPr="00901356" w:rsidRDefault="00901356" w:rsidP="00A20EFB">
      <w:pPr>
        <w:spacing w:after="0"/>
      </w:pPr>
    </w:p>
    <w:p w14:paraId="4783E1F0" w14:textId="77777777" w:rsidR="0039724C" w:rsidRDefault="0015324C" w:rsidP="00A20EFB">
      <w:pPr>
        <w:spacing w:after="0"/>
        <w:jc w:val="both"/>
        <w:rPr>
          <w:sz w:val="22"/>
          <w:szCs w:val="22"/>
        </w:rPr>
      </w:pPr>
      <w:r w:rsidRPr="006A67D9">
        <w:rPr>
          <w:sz w:val="22"/>
          <w:szCs w:val="22"/>
        </w:rPr>
        <w:t xml:space="preserve">To address the problem of the military use of schools and universities during conflict, change in policy and practice needs to happen at the national level. GCPEA members and partners will target governments all over the world to achieve this objective. </w:t>
      </w:r>
    </w:p>
    <w:p w14:paraId="35B1DB33" w14:textId="77777777" w:rsidR="00A20EFB" w:rsidRDefault="00A20EFB" w:rsidP="00A20EFB">
      <w:pPr>
        <w:spacing w:after="0"/>
        <w:jc w:val="both"/>
        <w:rPr>
          <w:sz w:val="22"/>
          <w:szCs w:val="22"/>
        </w:rPr>
      </w:pPr>
    </w:p>
    <w:p w14:paraId="7F0C1698" w14:textId="7949FFF0" w:rsidR="006A67D9" w:rsidRDefault="0015324C" w:rsidP="00A20EFB">
      <w:pPr>
        <w:spacing w:after="0"/>
        <w:jc w:val="both"/>
        <w:rPr>
          <w:sz w:val="22"/>
          <w:szCs w:val="22"/>
        </w:rPr>
      </w:pPr>
      <w:r w:rsidRPr="006A67D9">
        <w:rPr>
          <w:sz w:val="22"/>
          <w:szCs w:val="22"/>
        </w:rPr>
        <w:t>Countries targeted in the first phase of the advocacy were selected on the criteria of (</w:t>
      </w:r>
      <w:proofErr w:type="spellStart"/>
      <w:r w:rsidRPr="006A67D9">
        <w:rPr>
          <w:sz w:val="22"/>
          <w:szCs w:val="22"/>
        </w:rPr>
        <w:t>i</w:t>
      </w:r>
      <w:proofErr w:type="spellEnd"/>
      <w:r w:rsidRPr="006A67D9">
        <w:rPr>
          <w:sz w:val="22"/>
          <w:szCs w:val="22"/>
        </w:rPr>
        <w:t xml:space="preserve">) strategic importance (ii) </w:t>
      </w:r>
      <w:r w:rsidR="006A67D9" w:rsidRPr="006A67D9">
        <w:rPr>
          <w:sz w:val="22"/>
          <w:szCs w:val="22"/>
        </w:rPr>
        <w:t xml:space="preserve">in-country </w:t>
      </w:r>
      <w:r w:rsidRPr="006A67D9">
        <w:rPr>
          <w:sz w:val="22"/>
          <w:szCs w:val="22"/>
        </w:rPr>
        <w:t>capacity of GCPEA</w:t>
      </w:r>
      <w:r w:rsidR="006A67D9" w:rsidRPr="006A67D9">
        <w:rPr>
          <w:sz w:val="22"/>
          <w:szCs w:val="22"/>
        </w:rPr>
        <w:t xml:space="preserve"> </w:t>
      </w:r>
      <w:r w:rsidR="0039724C">
        <w:rPr>
          <w:sz w:val="22"/>
          <w:szCs w:val="22"/>
        </w:rPr>
        <w:t xml:space="preserve">members </w:t>
      </w:r>
      <w:r w:rsidRPr="006A67D9">
        <w:rPr>
          <w:sz w:val="22"/>
          <w:szCs w:val="22"/>
        </w:rPr>
        <w:t xml:space="preserve">and (iii) political willingness to cooperate. </w:t>
      </w:r>
    </w:p>
    <w:p w14:paraId="0332F95D" w14:textId="77777777" w:rsidR="00A20EFB" w:rsidRPr="006A67D9" w:rsidRDefault="00A20EFB" w:rsidP="00A20EFB">
      <w:pPr>
        <w:spacing w:after="0"/>
        <w:jc w:val="both"/>
        <w:rPr>
          <w:sz w:val="22"/>
          <w:szCs w:val="22"/>
        </w:rPr>
      </w:pPr>
    </w:p>
    <w:p w14:paraId="57443441" w14:textId="44F93725" w:rsidR="0015324C" w:rsidRDefault="00FE3D27" w:rsidP="00FE3D27">
      <w:pPr>
        <w:spacing w:after="0"/>
        <w:jc w:val="both"/>
        <w:rPr>
          <w:sz w:val="22"/>
          <w:szCs w:val="22"/>
        </w:rPr>
      </w:pPr>
      <w:r>
        <w:rPr>
          <w:sz w:val="22"/>
          <w:szCs w:val="22"/>
        </w:rPr>
        <w:t xml:space="preserve">As advocacy is undertaken, </w:t>
      </w:r>
      <w:r w:rsidR="000D3693" w:rsidRPr="006A67D9">
        <w:rPr>
          <w:sz w:val="22"/>
          <w:szCs w:val="22"/>
        </w:rPr>
        <w:t xml:space="preserve">countries may shift from one category to the other as </w:t>
      </w:r>
      <w:r>
        <w:rPr>
          <w:sz w:val="22"/>
          <w:szCs w:val="22"/>
        </w:rPr>
        <w:t>their position may</w:t>
      </w:r>
      <w:r w:rsidR="000D3693" w:rsidRPr="006A67D9">
        <w:rPr>
          <w:sz w:val="22"/>
          <w:szCs w:val="22"/>
        </w:rPr>
        <w:t xml:space="preserve"> evolve. E.g. a country initially in Category 2 </w:t>
      </w:r>
      <w:r w:rsidR="00E41C00">
        <w:rPr>
          <w:sz w:val="22"/>
          <w:szCs w:val="22"/>
        </w:rPr>
        <w:t xml:space="preserve">that </w:t>
      </w:r>
      <w:r w:rsidR="000D3693" w:rsidRPr="006A67D9">
        <w:rPr>
          <w:sz w:val="22"/>
          <w:szCs w:val="22"/>
        </w:rPr>
        <w:t xml:space="preserve">gets fully on board would </w:t>
      </w:r>
      <w:r w:rsidR="00E41C00">
        <w:rPr>
          <w:sz w:val="22"/>
          <w:szCs w:val="22"/>
        </w:rPr>
        <w:t xml:space="preserve">be </w:t>
      </w:r>
      <w:r w:rsidR="000D3693" w:rsidRPr="006A67D9">
        <w:rPr>
          <w:sz w:val="22"/>
          <w:szCs w:val="22"/>
        </w:rPr>
        <w:t>move</w:t>
      </w:r>
      <w:r w:rsidR="00E41C00">
        <w:rPr>
          <w:sz w:val="22"/>
          <w:szCs w:val="22"/>
        </w:rPr>
        <w:t>d</w:t>
      </w:r>
      <w:r w:rsidR="000D3693" w:rsidRPr="006A67D9">
        <w:rPr>
          <w:sz w:val="22"/>
          <w:szCs w:val="22"/>
        </w:rPr>
        <w:t xml:space="preserve"> to category 1 and action adjusted accordingly. </w:t>
      </w:r>
      <w:r w:rsidR="00C97D1F" w:rsidRPr="00C97D1F">
        <w:rPr>
          <w:b/>
          <w:sz w:val="22"/>
          <w:szCs w:val="22"/>
          <w:u w:val="single"/>
        </w:rPr>
        <w:t>As of January 2015</w:t>
      </w:r>
      <w:r w:rsidR="00C97D1F">
        <w:rPr>
          <w:sz w:val="22"/>
          <w:szCs w:val="22"/>
        </w:rPr>
        <w:t xml:space="preserve">, </w:t>
      </w:r>
      <w:r w:rsidR="0015324C" w:rsidRPr="006A67D9">
        <w:rPr>
          <w:sz w:val="22"/>
          <w:szCs w:val="22"/>
        </w:rPr>
        <w:t>GCPEA have identif</w:t>
      </w:r>
      <w:r w:rsidR="00E41C00">
        <w:rPr>
          <w:sz w:val="22"/>
          <w:szCs w:val="22"/>
        </w:rPr>
        <w:t>ied the following categories of countries for advocacy</w:t>
      </w:r>
      <w:r w:rsidR="00B6120D">
        <w:rPr>
          <w:sz w:val="22"/>
          <w:szCs w:val="22"/>
        </w:rPr>
        <w:t>, though this list may be subject to change</w:t>
      </w:r>
      <w:r w:rsidR="001C4BD8">
        <w:rPr>
          <w:rStyle w:val="FootnoteReference"/>
          <w:sz w:val="22"/>
          <w:szCs w:val="22"/>
        </w:rPr>
        <w:footnoteReference w:id="6"/>
      </w:r>
      <w:r w:rsidR="00E41C00">
        <w:rPr>
          <w:sz w:val="22"/>
          <w:szCs w:val="22"/>
        </w:rPr>
        <w:t xml:space="preserve">: </w:t>
      </w:r>
    </w:p>
    <w:p w14:paraId="55952359" w14:textId="77777777" w:rsidR="00A20EFB" w:rsidRDefault="00A20EFB" w:rsidP="00A20EFB">
      <w:pPr>
        <w:pStyle w:val="Normal1"/>
        <w:spacing w:after="0"/>
        <w:jc w:val="both"/>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1384"/>
        <w:gridCol w:w="2977"/>
        <w:gridCol w:w="4155"/>
      </w:tblGrid>
      <w:tr w:rsidR="00A20EFB" w:rsidRPr="00A20EFB" w14:paraId="5D498609" w14:textId="77777777" w:rsidTr="00A20EFB">
        <w:tc>
          <w:tcPr>
            <w:tcW w:w="1384" w:type="dxa"/>
          </w:tcPr>
          <w:p w14:paraId="1FB3BD27" w14:textId="0C4AF70A" w:rsidR="00A20EFB" w:rsidRPr="00A20EFB" w:rsidRDefault="00A20EFB" w:rsidP="00A20EFB">
            <w:pPr>
              <w:jc w:val="center"/>
              <w:rPr>
                <w:b/>
                <w:sz w:val="22"/>
                <w:szCs w:val="22"/>
              </w:rPr>
            </w:pPr>
            <w:r w:rsidRPr="00A20EFB">
              <w:rPr>
                <w:b/>
                <w:sz w:val="22"/>
                <w:szCs w:val="22"/>
              </w:rPr>
              <w:t>Category:</w:t>
            </w:r>
          </w:p>
        </w:tc>
        <w:tc>
          <w:tcPr>
            <w:tcW w:w="2977" w:type="dxa"/>
          </w:tcPr>
          <w:p w14:paraId="4D6C36F7" w14:textId="482D48B4" w:rsidR="00A20EFB" w:rsidRPr="00A20EFB" w:rsidRDefault="00A20EFB" w:rsidP="00A20EFB">
            <w:pPr>
              <w:jc w:val="center"/>
              <w:rPr>
                <w:rFonts w:cs="Times New Roman"/>
                <w:b/>
                <w:sz w:val="22"/>
                <w:szCs w:val="22"/>
              </w:rPr>
            </w:pPr>
            <w:r w:rsidRPr="00A20EFB">
              <w:rPr>
                <w:rFonts w:cs="Times New Roman"/>
                <w:b/>
                <w:sz w:val="22"/>
                <w:szCs w:val="22"/>
              </w:rPr>
              <w:t>Country:</w:t>
            </w:r>
          </w:p>
        </w:tc>
        <w:tc>
          <w:tcPr>
            <w:tcW w:w="4155" w:type="dxa"/>
          </w:tcPr>
          <w:p w14:paraId="4B858B9B" w14:textId="271FEBEE" w:rsidR="00A20EFB" w:rsidRPr="00A20EFB" w:rsidRDefault="00A20EFB" w:rsidP="00A20EFB">
            <w:pPr>
              <w:jc w:val="center"/>
              <w:rPr>
                <w:b/>
                <w:sz w:val="22"/>
                <w:szCs w:val="22"/>
              </w:rPr>
            </w:pPr>
            <w:r w:rsidRPr="00A20EFB">
              <w:rPr>
                <w:b/>
                <w:sz w:val="22"/>
                <w:szCs w:val="22"/>
              </w:rPr>
              <w:t>Targeted advocacy objectives:</w:t>
            </w:r>
          </w:p>
        </w:tc>
      </w:tr>
      <w:tr w:rsidR="00A20EFB" w:rsidRPr="00B95C6C" w14:paraId="66AAE5FB" w14:textId="4EBF8634" w:rsidTr="00A20EFB">
        <w:tc>
          <w:tcPr>
            <w:tcW w:w="1384" w:type="dxa"/>
          </w:tcPr>
          <w:p w14:paraId="6E958304" w14:textId="16202CDB" w:rsidR="00A20EFB" w:rsidRPr="00B95C6C" w:rsidRDefault="00A20EFB" w:rsidP="00A20EFB">
            <w:pPr>
              <w:jc w:val="both"/>
              <w:rPr>
                <w:b/>
                <w:sz w:val="22"/>
                <w:szCs w:val="22"/>
              </w:rPr>
            </w:pPr>
            <w:r w:rsidRPr="00B95C6C">
              <w:rPr>
                <w:b/>
                <w:sz w:val="22"/>
                <w:szCs w:val="22"/>
              </w:rPr>
              <w:t xml:space="preserve">Category 1: </w:t>
            </w:r>
            <w:r>
              <w:rPr>
                <w:sz w:val="22"/>
                <w:szCs w:val="22"/>
              </w:rPr>
              <w:t>supportive states</w:t>
            </w:r>
          </w:p>
        </w:tc>
        <w:tc>
          <w:tcPr>
            <w:tcW w:w="2977" w:type="dxa"/>
          </w:tcPr>
          <w:p w14:paraId="78D035BF" w14:textId="247BE011" w:rsidR="00A20EFB" w:rsidRPr="00B95C6C" w:rsidRDefault="00A20EFB" w:rsidP="00A20EFB">
            <w:pPr>
              <w:jc w:val="both"/>
              <w:rPr>
                <w:b/>
                <w:sz w:val="22"/>
                <w:szCs w:val="22"/>
              </w:rPr>
            </w:pPr>
            <w:r w:rsidRPr="00B95C6C">
              <w:rPr>
                <w:rFonts w:cs="Times New Roman"/>
                <w:sz w:val="22"/>
                <w:szCs w:val="22"/>
              </w:rPr>
              <w:t>Norway, Argentina</w:t>
            </w:r>
            <w:r w:rsidRPr="00B95C6C">
              <w:rPr>
                <w:rFonts w:eastAsia="Times New Roman" w:cs="Times New Roman"/>
                <w:sz w:val="22"/>
                <w:szCs w:val="22"/>
                <w:lang w:eastAsia="en-US"/>
              </w:rPr>
              <w:t>, Austria,</w:t>
            </w:r>
            <w:r w:rsidRPr="00B95C6C">
              <w:rPr>
                <w:rFonts w:cs="Times New Roman"/>
                <w:color w:val="FF6600"/>
                <w:sz w:val="22"/>
                <w:szCs w:val="22"/>
              </w:rPr>
              <w:t xml:space="preserve"> Cote D’Ivoire, </w:t>
            </w:r>
            <w:r w:rsidRPr="00B95C6C">
              <w:rPr>
                <w:rFonts w:cs="Times New Roman"/>
                <w:sz w:val="22"/>
                <w:szCs w:val="22"/>
              </w:rPr>
              <w:t xml:space="preserve">Croatia, Ecuador, </w:t>
            </w:r>
            <w:r w:rsidRPr="00B95C6C">
              <w:rPr>
                <w:rFonts w:eastAsia="Times New Roman" w:cs="Times New Roman"/>
                <w:sz w:val="22"/>
                <w:szCs w:val="22"/>
                <w:lang w:eastAsia="en-US"/>
              </w:rPr>
              <w:t xml:space="preserve"> Finland,</w:t>
            </w:r>
            <w:r w:rsidRPr="00B95C6C">
              <w:rPr>
                <w:rFonts w:cs="Times New Roman"/>
                <w:sz w:val="22"/>
                <w:szCs w:val="22"/>
              </w:rPr>
              <w:t xml:space="preserve"> </w:t>
            </w:r>
            <w:r>
              <w:rPr>
                <w:rFonts w:eastAsia="Times New Roman" w:cs="Times New Roman"/>
                <w:sz w:val="22"/>
                <w:szCs w:val="22"/>
                <w:lang w:eastAsia="en-US"/>
              </w:rPr>
              <w:t>Jorda</w:t>
            </w:r>
            <w:r w:rsidRPr="00B95C6C">
              <w:rPr>
                <w:rFonts w:eastAsia="Times New Roman" w:cs="Times New Roman"/>
                <w:sz w:val="22"/>
                <w:szCs w:val="22"/>
                <w:lang w:eastAsia="en-US"/>
              </w:rPr>
              <w:t>n</w:t>
            </w:r>
            <w:r w:rsidRPr="00B95C6C">
              <w:rPr>
                <w:rFonts w:cs="Times New Roman"/>
                <w:sz w:val="22"/>
                <w:szCs w:val="22"/>
                <w:lang w:eastAsia="en-US"/>
              </w:rPr>
              <w:t>,</w:t>
            </w:r>
            <w:r>
              <w:rPr>
                <w:rFonts w:cs="Times New Roman"/>
                <w:sz w:val="22"/>
                <w:szCs w:val="22"/>
                <w:lang w:eastAsia="en-US"/>
              </w:rPr>
              <w:t xml:space="preserve"> </w:t>
            </w:r>
            <w:r w:rsidRPr="00B95C6C">
              <w:rPr>
                <w:rFonts w:cs="Times New Roman"/>
                <w:sz w:val="22"/>
                <w:szCs w:val="22"/>
              </w:rPr>
              <w:t>Liechtenstein, Lithuania</w:t>
            </w:r>
            <w:r w:rsidRPr="00B95C6C">
              <w:rPr>
                <w:rFonts w:eastAsia="Times New Roman" w:cs="Times New Roman"/>
                <w:sz w:val="22"/>
                <w:szCs w:val="22"/>
                <w:lang w:eastAsia="en-US"/>
              </w:rPr>
              <w:t>, Luxemburg, New Zealand,</w:t>
            </w:r>
            <w:r w:rsidRPr="00B95C6C">
              <w:rPr>
                <w:rFonts w:cs="Times New Roman"/>
                <w:sz w:val="22"/>
                <w:szCs w:val="22"/>
              </w:rPr>
              <w:t xml:space="preserve"> </w:t>
            </w:r>
            <w:r w:rsidRPr="00734989">
              <w:rPr>
                <w:rFonts w:cs="Times New Roman"/>
                <w:color w:val="FF6600"/>
                <w:sz w:val="22"/>
                <w:szCs w:val="22"/>
              </w:rPr>
              <w:t>Nigeria</w:t>
            </w:r>
            <w:r w:rsidRPr="00B95C6C">
              <w:rPr>
                <w:rFonts w:cs="Times New Roman"/>
                <w:sz w:val="22"/>
                <w:szCs w:val="22"/>
              </w:rPr>
              <w:t>, Montenegro,</w:t>
            </w:r>
            <w:r w:rsidRPr="00B95C6C">
              <w:rPr>
                <w:rFonts w:cs="Times New Roman"/>
                <w:color w:val="FF6600"/>
                <w:sz w:val="22"/>
                <w:szCs w:val="22"/>
              </w:rPr>
              <w:t xml:space="preserve"> </w:t>
            </w:r>
            <w:r w:rsidRPr="00B95C6C">
              <w:rPr>
                <w:rFonts w:eastAsia="Times New Roman" w:cs="Times New Roman"/>
                <w:sz w:val="22"/>
                <w:szCs w:val="22"/>
                <w:lang w:eastAsia="en-US"/>
              </w:rPr>
              <w:t>Portugal, Slovenia,</w:t>
            </w:r>
            <w:r w:rsidR="00BF5D31">
              <w:rPr>
                <w:rFonts w:eastAsia="Times New Roman" w:cs="Times New Roman"/>
                <w:sz w:val="22"/>
                <w:szCs w:val="22"/>
                <w:lang w:eastAsia="en-US"/>
              </w:rPr>
              <w:t xml:space="preserve"> </w:t>
            </w:r>
            <w:r w:rsidR="00BF5D31" w:rsidRPr="00B95C6C">
              <w:rPr>
                <w:rFonts w:eastAsia="Times New Roman" w:cs="Times New Roman"/>
                <w:sz w:val="22"/>
                <w:szCs w:val="22"/>
                <w:lang w:eastAsia="en-US"/>
              </w:rPr>
              <w:t xml:space="preserve">Spain, </w:t>
            </w:r>
            <w:r w:rsidRPr="00B95C6C">
              <w:rPr>
                <w:rFonts w:eastAsia="Times New Roman" w:cs="Times New Roman"/>
                <w:sz w:val="22"/>
                <w:szCs w:val="22"/>
                <w:lang w:eastAsia="en-US"/>
              </w:rPr>
              <w:t xml:space="preserve"> Sweden, Switzerland, Qatar.</w:t>
            </w:r>
          </w:p>
        </w:tc>
        <w:tc>
          <w:tcPr>
            <w:tcW w:w="4155" w:type="dxa"/>
          </w:tcPr>
          <w:p w14:paraId="20C20042" w14:textId="77777777" w:rsidR="00A20EFB" w:rsidRPr="00B95C6C" w:rsidRDefault="00A20EFB" w:rsidP="00A9649E">
            <w:pPr>
              <w:pStyle w:val="ListParagraph"/>
              <w:numPr>
                <w:ilvl w:val="0"/>
                <w:numId w:val="12"/>
              </w:numPr>
              <w:ind w:left="459"/>
              <w:jc w:val="both"/>
              <w:rPr>
                <w:sz w:val="22"/>
                <w:szCs w:val="22"/>
              </w:rPr>
            </w:pPr>
            <w:r w:rsidRPr="00B95C6C">
              <w:rPr>
                <w:sz w:val="22"/>
                <w:szCs w:val="22"/>
              </w:rPr>
              <w:t xml:space="preserve">Maintain or increase their level of engagement on the Declaration </w:t>
            </w:r>
          </w:p>
          <w:p w14:paraId="4D909FB2" w14:textId="77777777" w:rsidR="00A20EFB" w:rsidRPr="00B95C6C" w:rsidRDefault="00A20EFB" w:rsidP="00A9649E">
            <w:pPr>
              <w:pStyle w:val="ListParagraph"/>
              <w:numPr>
                <w:ilvl w:val="0"/>
                <w:numId w:val="12"/>
              </w:numPr>
              <w:ind w:left="459"/>
              <w:jc w:val="both"/>
              <w:rPr>
                <w:sz w:val="22"/>
                <w:szCs w:val="22"/>
              </w:rPr>
            </w:pPr>
            <w:r w:rsidRPr="00B95C6C">
              <w:rPr>
                <w:sz w:val="22"/>
                <w:szCs w:val="22"/>
              </w:rPr>
              <w:t xml:space="preserve">Maintain or increase their engagement in public support for the Guidelines in national, regional and global fora </w:t>
            </w:r>
          </w:p>
          <w:p w14:paraId="404B4096" w14:textId="77777777" w:rsidR="00A20EFB" w:rsidRPr="00B95C6C" w:rsidRDefault="00A20EFB" w:rsidP="00A9649E">
            <w:pPr>
              <w:pStyle w:val="ListParagraph"/>
              <w:numPr>
                <w:ilvl w:val="0"/>
                <w:numId w:val="12"/>
              </w:numPr>
              <w:ind w:left="459"/>
              <w:jc w:val="both"/>
              <w:rPr>
                <w:sz w:val="22"/>
                <w:szCs w:val="22"/>
              </w:rPr>
            </w:pPr>
            <w:r w:rsidRPr="00B95C6C">
              <w:rPr>
                <w:sz w:val="22"/>
                <w:szCs w:val="22"/>
              </w:rPr>
              <w:t xml:space="preserve">Target them as “advocacy multipliers” to bring on other states </w:t>
            </w:r>
          </w:p>
          <w:p w14:paraId="21F99AED" w14:textId="77777777" w:rsidR="00A20EFB" w:rsidRPr="00B95C6C" w:rsidRDefault="00A20EFB" w:rsidP="00A9649E">
            <w:pPr>
              <w:pStyle w:val="ListParagraph"/>
              <w:numPr>
                <w:ilvl w:val="0"/>
                <w:numId w:val="12"/>
              </w:numPr>
              <w:ind w:left="459"/>
              <w:jc w:val="both"/>
              <w:rPr>
                <w:sz w:val="22"/>
                <w:szCs w:val="22"/>
              </w:rPr>
            </w:pPr>
            <w:r w:rsidRPr="00B95C6C">
              <w:rPr>
                <w:sz w:val="22"/>
                <w:szCs w:val="22"/>
              </w:rPr>
              <w:t xml:space="preserve">Target them for inclusion/safeguarding of strong language in Declaration </w:t>
            </w:r>
          </w:p>
          <w:p w14:paraId="7FB9472B" w14:textId="77777777" w:rsidR="00A20EFB" w:rsidRPr="00B95C6C" w:rsidRDefault="00A20EFB" w:rsidP="00A9649E">
            <w:pPr>
              <w:pStyle w:val="ListParagraph"/>
              <w:numPr>
                <w:ilvl w:val="0"/>
                <w:numId w:val="12"/>
              </w:numPr>
              <w:ind w:left="459"/>
              <w:jc w:val="both"/>
              <w:rPr>
                <w:sz w:val="22"/>
                <w:szCs w:val="22"/>
              </w:rPr>
            </w:pPr>
            <w:r w:rsidRPr="00B95C6C">
              <w:rPr>
                <w:sz w:val="22"/>
                <w:szCs w:val="22"/>
              </w:rPr>
              <w:t xml:space="preserve">Ensure participation and endorsement of the Declaration at the June Conference </w:t>
            </w:r>
          </w:p>
          <w:p w14:paraId="01EC2AFF" w14:textId="77777777" w:rsidR="00A20EFB" w:rsidRPr="00B95C6C" w:rsidRDefault="00A20EFB" w:rsidP="00A9649E">
            <w:pPr>
              <w:pStyle w:val="ListParagraph"/>
              <w:numPr>
                <w:ilvl w:val="0"/>
                <w:numId w:val="12"/>
              </w:numPr>
              <w:ind w:left="459"/>
              <w:jc w:val="both"/>
              <w:rPr>
                <w:sz w:val="22"/>
                <w:szCs w:val="22"/>
              </w:rPr>
            </w:pPr>
            <w:r w:rsidRPr="00B95C6C">
              <w:rPr>
                <w:sz w:val="22"/>
                <w:szCs w:val="22"/>
              </w:rPr>
              <w:t xml:space="preserve">Advocate for support for the discussion on follow-up strategy at the June Conference </w:t>
            </w:r>
          </w:p>
          <w:p w14:paraId="5C3A1B2D" w14:textId="77777777" w:rsidR="00A20EFB" w:rsidRPr="00B95C6C" w:rsidRDefault="00A20EFB" w:rsidP="00A9649E">
            <w:pPr>
              <w:pStyle w:val="ListParagraph"/>
              <w:numPr>
                <w:ilvl w:val="0"/>
                <w:numId w:val="12"/>
              </w:numPr>
              <w:ind w:left="459"/>
              <w:jc w:val="both"/>
              <w:rPr>
                <w:sz w:val="22"/>
                <w:szCs w:val="22"/>
              </w:rPr>
            </w:pPr>
            <w:r w:rsidRPr="00B95C6C">
              <w:rPr>
                <w:sz w:val="22"/>
                <w:szCs w:val="22"/>
              </w:rPr>
              <w:t xml:space="preserve">Advocate for them to explore/continue to explore ways to implement the Guidelines </w:t>
            </w:r>
          </w:p>
          <w:p w14:paraId="248C58E0" w14:textId="77777777" w:rsidR="00A20EFB" w:rsidRPr="00B95C6C" w:rsidRDefault="00A20EFB" w:rsidP="00A20EFB">
            <w:pPr>
              <w:jc w:val="both"/>
              <w:rPr>
                <w:rFonts w:cs="Times New Roman"/>
                <w:sz w:val="22"/>
                <w:szCs w:val="22"/>
              </w:rPr>
            </w:pPr>
          </w:p>
        </w:tc>
      </w:tr>
      <w:tr w:rsidR="00A20EFB" w:rsidRPr="00B95C6C" w14:paraId="632B8F0A" w14:textId="373A5700" w:rsidTr="00A20EFB">
        <w:tc>
          <w:tcPr>
            <w:tcW w:w="1384" w:type="dxa"/>
          </w:tcPr>
          <w:p w14:paraId="1D10F8DF" w14:textId="1504B0C8" w:rsidR="00A20EFB" w:rsidRDefault="00A20EFB" w:rsidP="00A20EFB">
            <w:pPr>
              <w:jc w:val="both"/>
              <w:rPr>
                <w:sz w:val="22"/>
                <w:szCs w:val="22"/>
              </w:rPr>
            </w:pPr>
            <w:r w:rsidRPr="00B95C6C">
              <w:rPr>
                <w:b/>
                <w:sz w:val="22"/>
                <w:szCs w:val="22"/>
              </w:rPr>
              <w:t>Category 2:</w:t>
            </w:r>
            <w:r w:rsidRPr="00B95C6C">
              <w:rPr>
                <w:sz w:val="22"/>
                <w:szCs w:val="22"/>
              </w:rPr>
              <w:t xml:space="preserve"> </w:t>
            </w:r>
            <w:r>
              <w:rPr>
                <w:sz w:val="22"/>
                <w:szCs w:val="22"/>
              </w:rPr>
              <w:t>Undecided/unknown and fence-sitters</w:t>
            </w:r>
          </w:p>
          <w:p w14:paraId="4545C94A" w14:textId="515F14FA" w:rsidR="00A20EFB" w:rsidRPr="00B95C6C" w:rsidRDefault="00A20EFB" w:rsidP="00A20EFB">
            <w:pPr>
              <w:jc w:val="both"/>
              <w:rPr>
                <w:sz w:val="22"/>
                <w:szCs w:val="22"/>
              </w:rPr>
            </w:pPr>
          </w:p>
        </w:tc>
        <w:tc>
          <w:tcPr>
            <w:tcW w:w="2977" w:type="dxa"/>
          </w:tcPr>
          <w:p w14:paraId="2148066F" w14:textId="5E76BBE6" w:rsidR="00A20EFB" w:rsidRPr="001C4BD8" w:rsidRDefault="00A20EFB" w:rsidP="00B66644">
            <w:pPr>
              <w:rPr>
                <w:rFonts w:eastAsia="Times New Roman" w:cs="Times New Roman"/>
                <w:sz w:val="22"/>
                <w:szCs w:val="22"/>
                <w:lang w:eastAsia="en-US"/>
              </w:rPr>
            </w:pPr>
            <w:r w:rsidRPr="00B95C6C">
              <w:rPr>
                <w:rFonts w:cs="Times New Roman"/>
                <w:sz w:val="22"/>
                <w:szCs w:val="22"/>
              </w:rPr>
              <w:t>Algeria,</w:t>
            </w:r>
            <w:r>
              <w:rPr>
                <w:rFonts w:cs="Times New Roman"/>
                <w:sz w:val="22"/>
                <w:szCs w:val="22"/>
              </w:rPr>
              <w:t xml:space="preserve"> </w:t>
            </w:r>
            <w:r w:rsidRPr="00B95C6C">
              <w:rPr>
                <w:rFonts w:eastAsia="Times New Roman" w:cs="Times New Roman"/>
                <w:color w:val="FF6600"/>
                <w:sz w:val="22"/>
                <w:szCs w:val="22"/>
                <w:lang w:eastAsia="en-US"/>
              </w:rPr>
              <w:t>Afghanistan,</w:t>
            </w:r>
            <w:r w:rsidRPr="00B95C6C">
              <w:rPr>
                <w:rFonts w:eastAsia="Times New Roman" w:cs="Times New Roman"/>
                <w:sz w:val="22"/>
                <w:szCs w:val="22"/>
                <w:lang w:eastAsia="en-US"/>
              </w:rPr>
              <w:t xml:space="preserve"> Australia, Belgium,</w:t>
            </w:r>
            <w:r w:rsidR="00B66644">
              <w:rPr>
                <w:rFonts w:cs="Times New Roman"/>
                <w:sz w:val="22"/>
                <w:szCs w:val="22"/>
              </w:rPr>
              <w:t xml:space="preserve"> Brazil</w:t>
            </w:r>
            <w:r w:rsidRPr="00B95C6C">
              <w:rPr>
                <w:rFonts w:cs="Times New Roman"/>
                <w:sz w:val="22"/>
                <w:szCs w:val="22"/>
              </w:rPr>
              <w:t>,</w:t>
            </w:r>
            <w:r w:rsidRPr="00B95C6C">
              <w:rPr>
                <w:rFonts w:eastAsia="Times New Roman" w:cs="Times New Roman"/>
                <w:color w:val="FF6600"/>
                <w:sz w:val="22"/>
                <w:szCs w:val="22"/>
                <w:lang w:eastAsia="en-US"/>
              </w:rPr>
              <w:t xml:space="preserve"> Burma/Myanmar,</w:t>
            </w:r>
            <w:r w:rsidRPr="00B95C6C">
              <w:rPr>
                <w:rFonts w:eastAsia="Times New Roman" w:cs="Times New Roman"/>
                <w:sz w:val="22"/>
                <w:szCs w:val="22"/>
                <w:lang w:eastAsia="en-US"/>
              </w:rPr>
              <w:t xml:space="preserve"> Cambodia,</w:t>
            </w:r>
            <w:r w:rsidRPr="00B95C6C">
              <w:rPr>
                <w:rFonts w:cs="Times New Roman"/>
                <w:color w:val="FF6600"/>
                <w:sz w:val="22"/>
                <w:szCs w:val="22"/>
              </w:rPr>
              <w:t xml:space="preserve"> </w:t>
            </w:r>
            <w:r w:rsidRPr="00B95C6C">
              <w:rPr>
                <w:rFonts w:cs="Times New Roman"/>
                <w:sz w:val="22"/>
                <w:szCs w:val="22"/>
              </w:rPr>
              <w:t>Canada,</w:t>
            </w:r>
            <w:r>
              <w:rPr>
                <w:rFonts w:cs="Times New Roman"/>
                <w:sz w:val="22"/>
                <w:szCs w:val="22"/>
              </w:rPr>
              <w:t xml:space="preserve"> </w:t>
            </w:r>
            <w:r w:rsidRPr="00B95C6C">
              <w:rPr>
                <w:rFonts w:cs="Times New Roman"/>
                <w:color w:val="FF6600"/>
                <w:sz w:val="22"/>
                <w:szCs w:val="22"/>
              </w:rPr>
              <w:t>Central African Republic, Chad,</w:t>
            </w:r>
            <w:r w:rsidRPr="00B95C6C">
              <w:rPr>
                <w:rFonts w:cs="Times New Roman"/>
                <w:sz w:val="22"/>
                <w:szCs w:val="22"/>
              </w:rPr>
              <w:t xml:space="preserve"> Chile</w:t>
            </w:r>
            <w:r>
              <w:rPr>
                <w:rFonts w:cs="Times New Roman"/>
                <w:sz w:val="22"/>
                <w:szCs w:val="22"/>
              </w:rPr>
              <w:t>,</w:t>
            </w:r>
            <w:r w:rsidRPr="00B95C6C">
              <w:rPr>
                <w:rFonts w:eastAsia="Times New Roman" w:cs="Times New Roman"/>
                <w:sz w:val="22"/>
                <w:szCs w:val="22"/>
                <w:lang w:eastAsia="en-US"/>
              </w:rPr>
              <w:t xml:space="preserve"> Denmark,</w:t>
            </w:r>
            <w:r w:rsidRPr="00B95C6C">
              <w:rPr>
                <w:rFonts w:cs="Times New Roman"/>
                <w:color w:val="FF6600"/>
                <w:sz w:val="22"/>
                <w:szCs w:val="22"/>
              </w:rPr>
              <w:t xml:space="preserve"> DRC,</w:t>
            </w:r>
            <w:r w:rsidRPr="00B95C6C">
              <w:rPr>
                <w:rFonts w:cs="Times New Roman"/>
                <w:sz w:val="22"/>
                <w:szCs w:val="22"/>
              </w:rPr>
              <w:t xml:space="preserve"> El Salvador,</w:t>
            </w:r>
            <w:r w:rsidRPr="00B95C6C">
              <w:rPr>
                <w:rFonts w:cs="Times New Roman"/>
                <w:sz w:val="22"/>
                <w:szCs w:val="22"/>
                <w:lang w:eastAsia="en-US"/>
              </w:rPr>
              <w:t xml:space="preserve"> Estonia,</w:t>
            </w:r>
            <w:r w:rsidRPr="00B95C6C">
              <w:rPr>
                <w:rFonts w:eastAsia="Times New Roman" w:cs="Times New Roman"/>
                <w:sz w:val="22"/>
                <w:szCs w:val="22"/>
                <w:lang w:eastAsia="en-US"/>
              </w:rPr>
              <w:t xml:space="preserve"> France,</w:t>
            </w:r>
            <w:r w:rsidRPr="00B95C6C">
              <w:rPr>
                <w:rFonts w:cs="Times New Roman"/>
                <w:sz w:val="22"/>
                <w:szCs w:val="22"/>
              </w:rPr>
              <w:t xml:space="preserve"> Guatemala, Honduras,</w:t>
            </w:r>
            <w:r w:rsidRPr="00B95C6C">
              <w:rPr>
                <w:rFonts w:eastAsia="Times New Roman" w:cs="Times New Roman"/>
                <w:color w:val="FF6600"/>
                <w:sz w:val="22"/>
                <w:szCs w:val="22"/>
                <w:lang w:eastAsia="en-US"/>
              </w:rPr>
              <w:t xml:space="preserve"> </w:t>
            </w:r>
            <w:r w:rsidRPr="00B95C6C">
              <w:rPr>
                <w:rFonts w:eastAsia="Times New Roman" w:cs="Times New Roman"/>
                <w:sz w:val="22"/>
                <w:szCs w:val="22"/>
                <w:lang w:eastAsia="en-US"/>
              </w:rPr>
              <w:t xml:space="preserve">Iceland, </w:t>
            </w:r>
            <w:r w:rsidRPr="00B95C6C">
              <w:rPr>
                <w:rFonts w:eastAsia="Times New Roman" w:cs="Times New Roman"/>
                <w:color w:val="FF6600"/>
                <w:sz w:val="22"/>
                <w:szCs w:val="22"/>
                <w:lang w:eastAsia="en-US"/>
              </w:rPr>
              <w:t>India,</w:t>
            </w:r>
            <w:r>
              <w:rPr>
                <w:rFonts w:eastAsia="Times New Roman" w:cs="Times New Roman"/>
                <w:color w:val="FF6600"/>
                <w:sz w:val="22"/>
                <w:szCs w:val="22"/>
                <w:lang w:eastAsia="en-US"/>
              </w:rPr>
              <w:t xml:space="preserve"> </w:t>
            </w:r>
            <w:r w:rsidRPr="00B95C6C">
              <w:rPr>
                <w:rFonts w:eastAsia="Times New Roman" w:cs="Times New Roman"/>
                <w:sz w:val="22"/>
                <w:szCs w:val="22"/>
                <w:lang w:eastAsia="en-US"/>
              </w:rPr>
              <w:t>Italy, Ireland,</w:t>
            </w:r>
            <w:r w:rsidRPr="00B95C6C">
              <w:rPr>
                <w:rFonts w:eastAsia="Times New Roman" w:cs="Times New Roman"/>
                <w:color w:val="FF6600"/>
                <w:sz w:val="22"/>
                <w:szCs w:val="22"/>
                <w:lang w:eastAsia="en-US"/>
              </w:rPr>
              <w:t xml:space="preserve"> Israel, Iraq,</w:t>
            </w:r>
            <w:r w:rsidRPr="00B95C6C">
              <w:rPr>
                <w:rFonts w:cs="Times New Roman"/>
                <w:color w:val="FF6600"/>
                <w:sz w:val="22"/>
                <w:szCs w:val="22"/>
              </w:rPr>
              <w:t xml:space="preserve"> </w:t>
            </w:r>
            <w:r>
              <w:rPr>
                <w:rFonts w:eastAsia="Times New Roman" w:cs="Times New Roman"/>
                <w:sz w:val="22"/>
                <w:szCs w:val="22"/>
                <w:lang w:eastAsia="en-US"/>
              </w:rPr>
              <w:t xml:space="preserve">Japan, </w:t>
            </w:r>
            <w:r w:rsidRPr="00B95C6C">
              <w:rPr>
                <w:rFonts w:cs="Times New Roman"/>
                <w:sz w:val="22"/>
                <w:szCs w:val="22"/>
              </w:rPr>
              <w:t>Kenya,</w:t>
            </w:r>
            <w:r w:rsidRPr="00B95C6C">
              <w:rPr>
                <w:rFonts w:eastAsia="Times New Roman" w:cs="Times New Roman"/>
                <w:sz w:val="22"/>
                <w:szCs w:val="22"/>
                <w:lang w:eastAsia="en-US"/>
              </w:rPr>
              <w:t xml:space="preserve"> </w:t>
            </w:r>
            <w:r w:rsidRPr="00B95C6C">
              <w:rPr>
                <w:rFonts w:cs="Times New Roman"/>
                <w:sz w:val="22"/>
                <w:szCs w:val="22"/>
              </w:rPr>
              <w:t>Latvia,</w:t>
            </w:r>
            <w:r w:rsidRPr="00B95C6C">
              <w:rPr>
                <w:rFonts w:cs="Times New Roman"/>
                <w:color w:val="FF6600"/>
                <w:sz w:val="22"/>
                <w:szCs w:val="22"/>
              </w:rPr>
              <w:t xml:space="preserve"> </w:t>
            </w:r>
            <w:r w:rsidRPr="00B95C6C">
              <w:rPr>
                <w:rFonts w:eastAsia="Times New Roman" w:cs="Times New Roman"/>
                <w:sz w:val="22"/>
                <w:szCs w:val="22"/>
                <w:lang w:eastAsia="en-US"/>
              </w:rPr>
              <w:lastRenderedPageBreak/>
              <w:t>Lebanon,</w:t>
            </w:r>
            <w:r>
              <w:rPr>
                <w:rFonts w:eastAsia="Times New Roman" w:cs="Times New Roman"/>
                <w:sz w:val="22"/>
                <w:szCs w:val="22"/>
                <w:lang w:eastAsia="en-US"/>
              </w:rPr>
              <w:t xml:space="preserve"> </w:t>
            </w:r>
            <w:r w:rsidRPr="00B95C6C">
              <w:rPr>
                <w:rFonts w:cs="Times New Roman"/>
                <w:color w:val="FF6600"/>
                <w:sz w:val="22"/>
                <w:szCs w:val="22"/>
              </w:rPr>
              <w:t>Liberia,</w:t>
            </w:r>
            <w:r w:rsidRPr="00B95C6C">
              <w:rPr>
                <w:rFonts w:cs="Times New Roman"/>
                <w:sz w:val="22"/>
                <w:szCs w:val="22"/>
              </w:rPr>
              <w:t xml:space="preserve"> </w:t>
            </w:r>
            <w:r w:rsidRPr="00B95C6C">
              <w:rPr>
                <w:rFonts w:eastAsia="Times New Roman" w:cs="Times New Roman"/>
                <w:sz w:val="22"/>
                <w:szCs w:val="22"/>
                <w:lang w:eastAsia="en-US"/>
              </w:rPr>
              <w:t>Malaysia,</w:t>
            </w:r>
            <w:r w:rsidRPr="00B95C6C">
              <w:rPr>
                <w:rFonts w:cs="Times New Roman"/>
                <w:color w:val="FF6600"/>
                <w:sz w:val="22"/>
                <w:szCs w:val="22"/>
              </w:rPr>
              <w:t xml:space="preserve"> Mali,</w:t>
            </w:r>
            <w:r w:rsidRPr="00B95C6C">
              <w:rPr>
                <w:rFonts w:eastAsia="Times New Roman" w:cs="Times New Roman"/>
                <w:sz w:val="22"/>
                <w:szCs w:val="22"/>
                <w:lang w:eastAsia="en-US"/>
              </w:rPr>
              <w:t xml:space="preserve"> </w:t>
            </w:r>
            <w:r w:rsidRPr="00B95C6C">
              <w:rPr>
                <w:rFonts w:cs="Times New Roman"/>
                <w:color w:val="FF6600"/>
                <w:sz w:val="22"/>
                <w:szCs w:val="22"/>
              </w:rPr>
              <w:t>Mexico,</w:t>
            </w:r>
            <w:r w:rsidRPr="00B95C6C">
              <w:rPr>
                <w:rFonts w:cs="Times New Roman"/>
                <w:sz w:val="22"/>
                <w:szCs w:val="22"/>
              </w:rPr>
              <w:t xml:space="preserve"> </w:t>
            </w:r>
            <w:r w:rsidRPr="00B95C6C">
              <w:rPr>
                <w:rFonts w:eastAsia="Times New Roman" w:cs="Times New Roman"/>
                <w:sz w:val="22"/>
                <w:szCs w:val="22"/>
                <w:lang w:eastAsia="en-US"/>
              </w:rPr>
              <w:t>Netherlands,</w:t>
            </w:r>
            <w:r w:rsidRPr="00B95C6C">
              <w:rPr>
                <w:rFonts w:eastAsia="Times New Roman" w:cs="Times New Roman"/>
                <w:color w:val="FF6600"/>
                <w:sz w:val="22"/>
                <w:szCs w:val="22"/>
                <w:lang w:eastAsia="en-US"/>
              </w:rPr>
              <w:t xml:space="preserve"> Nepal, Pakistan, Palestine, Philippines,</w:t>
            </w:r>
            <w:r w:rsidRPr="00B95C6C">
              <w:rPr>
                <w:rFonts w:cs="Times New Roman"/>
                <w:sz w:val="22"/>
                <w:szCs w:val="22"/>
              </w:rPr>
              <w:t xml:space="preserve"> </w:t>
            </w:r>
            <w:r w:rsidRPr="00B95C6C">
              <w:rPr>
                <w:rFonts w:cs="Times New Roman"/>
                <w:color w:val="FF6600"/>
                <w:sz w:val="22"/>
                <w:szCs w:val="22"/>
              </w:rPr>
              <w:t>Somalia</w:t>
            </w:r>
            <w:r>
              <w:rPr>
                <w:rFonts w:cs="Times New Roman"/>
                <w:color w:val="FF6600"/>
                <w:sz w:val="22"/>
                <w:szCs w:val="22"/>
              </w:rPr>
              <w:t>,</w:t>
            </w:r>
            <w:r w:rsidRPr="00B95C6C">
              <w:rPr>
                <w:rFonts w:cs="Times New Roman"/>
                <w:color w:val="FF6600"/>
                <w:sz w:val="22"/>
                <w:szCs w:val="22"/>
              </w:rPr>
              <w:t xml:space="preserve"> </w:t>
            </w:r>
            <w:r w:rsidRPr="00B95C6C">
              <w:rPr>
                <w:rFonts w:cs="Times New Roman"/>
                <w:sz w:val="22"/>
                <w:szCs w:val="22"/>
              </w:rPr>
              <w:t>South Africa,</w:t>
            </w:r>
            <w:r w:rsidRPr="00B95C6C">
              <w:rPr>
                <w:rFonts w:eastAsia="Times New Roman" w:cs="Times New Roman"/>
                <w:sz w:val="22"/>
                <w:szCs w:val="22"/>
                <w:lang w:eastAsia="en-US"/>
              </w:rPr>
              <w:t xml:space="preserve"> South Korea,</w:t>
            </w:r>
            <w:r w:rsidRPr="00B95C6C">
              <w:rPr>
                <w:rFonts w:cs="Times New Roman"/>
                <w:sz w:val="22"/>
                <w:szCs w:val="22"/>
              </w:rPr>
              <w:t xml:space="preserve"> South Sudan,</w:t>
            </w:r>
            <w:r w:rsidRPr="00B95C6C">
              <w:rPr>
                <w:rFonts w:eastAsia="Times New Roman" w:cs="Times New Roman"/>
                <w:sz w:val="22"/>
                <w:szCs w:val="22"/>
                <w:lang w:eastAsia="en-US"/>
              </w:rPr>
              <w:t xml:space="preserve"> </w:t>
            </w:r>
            <w:r w:rsidRPr="00B95C6C">
              <w:rPr>
                <w:rFonts w:cs="Times New Roman"/>
                <w:color w:val="FF6600"/>
                <w:sz w:val="22"/>
                <w:szCs w:val="22"/>
              </w:rPr>
              <w:t>Thailand,</w:t>
            </w:r>
            <w:r w:rsidRPr="00B95C6C">
              <w:rPr>
                <w:rFonts w:eastAsia="Times New Roman" w:cs="Times New Roman"/>
                <w:sz w:val="22"/>
                <w:szCs w:val="22"/>
                <w:lang w:eastAsia="en-US"/>
              </w:rPr>
              <w:t xml:space="preserve"> Turkey,</w:t>
            </w:r>
            <w:r>
              <w:rPr>
                <w:rFonts w:eastAsia="Times New Roman" w:cs="Times New Roman"/>
                <w:sz w:val="22"/>
                <w:szCs w:val="22"/>
                <w:lang w:eastAsia="en-US"/>
              </w:rPr>
              <w:t xml:space="preserve"> </w:t>
            </w:r>
            <w:r w:rsidRPr="00B95C6C">
              <w:rPr>
                <w:rFonts w:cs="Times New Roman"/>
                <w:color w:val="FF6600"/>
                <w:sz w:val="22"/>
                <w:szCs w:val="22"/>
              </w:rPr>
              <w:t>Uganda,</w:t>
            </w:r>
            <w:r w:rsidRPr="00B95C6C">
              <w:rPr>
                <w:rFonts w:cs="Times New Roman"/>
                <w:sz w:val="22"/>
                <w:szCs w:val="22"/>
              </w:rPr>
              <w:t xml:space="preserve"> Uruguay, </w:t>
            </w:r>
            <w:r w:rsidRPr="00734989">
              <w:rPr>
                <w:rFonts w:cs="Times New Roman"/>
                <w:color w:val="FF6600"/>
                <w:sz w:val="22"/>
                <w:szCs w:val="22"/>
              </w:rPr>
              <w:t>Yemen</w:t>
            </w:r>
          </w:p>
        </w:tc>
        <w:tc>
          <w:tcPr>
            <w:tcW w:w="4155" w:type="dxa"/>
          </w:tcPr>
          <w:p w14:paraId="117240F9" w14:textId="77777777" w:rsidR="00A20EFB" w:rsidRPr="00B95C6C" w:rsidRDefault="00A20EFB" w:rsidP="00A9649E">
            <w:pPr>
              <w:pStyle w:val="ListParagraph"/>
              <w:numPr>
                <w:ilvl w:val="0"/>
                <w:numId w:val="13"/>
              </w:numPr>
              <w:ind w:left="459"/>
              <w:jc w:val="both"/>
              <w:rPr>
                <w:sz w:val="22"/>
                <w:szCs w:val="22"/>
              </w:rPr>
            </w:pPr>
            <w:r w:rsidRPr="00B95C6C">
              <w:rPr>
                <w:sz w:val="22"/>
                <w:szCs w:val="22"/>
              </w:rPr>
              <w:lastRenderedPageBreak/>
              <w:t xml:space="preserve">Advocate for </w:t>
            </w:r>
            <w:r>
              <w:rPr>
                <w:sz w:val="22"/>
                <w:szCs w:val="22"/>
              </w:rPr>
              <w:t xml:space="preserve">full support to the Guidelines </w:t>
            </w:r>
          </w:p>
          <w:p w14:paraId="67335409" w14:textId="77777777" w:rsidR="00A20EFB" w:rsidRPr="00B95C6C" w:rsidRDefault="00A20EFB" w:rsidP="00A9649E">
            <w:pPr>
              <w:pStyle w:val="ListParagraph"/>
              <w:numPr>
                <w:ilvl w:val="0"/>
                <w:numId w:val="13"/>
              </w:numPr>
              <w:ind w:left="459"/>
              <w:jc w:val="both"/>
              <w:rPr>
                <w:sz w:val="22"/>
                <w:szCs w:val="22"/>
              </w:rPr>
            </w:pPr>
            <w:r w:rsidRPr="00B95C6C">
              <w:rPr>
                <w:sz w:val="22"/>
                <w:szCs w:val="22"/>
              </w:rPr>
              <w:t>Advocate for active participation in co</w:t>
            </w:r>
            <w:r>
              <w:rPr>
                <w:sz w:val="22"/>
                <w:szCs w:val="22"/>
              </w:rPr>
              <w:t xml:space="preserve">nsultations on the Declaration </w:t>
            </w:r>
          </w:p>
          <w:p w14:paraId="372BCFB4" w14:textId="77777777" w:rsidR="00A20EFB" w:rsidRPr="001C4BD8" w:rsidRDefault="00A20EFB" w:rsidP="00A9649E">
            <w:pPr>
              <w:pStyle w:val="ListParagraph"/>
              <w:numPr>
                <w:ilvl w:val="0"/>
                <w:numId w:val="13"/>
              </w:numPr>
              <w:ind w:left="459"/>
              <w:jc w:val="both"/>
              <w:rPr>
                <w:color w:val="FF0000"/>
                <w:sz w:val="22"/>
                <w:szCs w:val="22"/>
              </w:rPr>
            </w:pPr>
            <w:r w:rsidRPr="00B95C6C">
              <w:rPr>
                <w:sz w:val="22"/>
                <w:szCs w:val="22"/>
              </w:rPr>
              <w:t>Advocate for parti</w:t>
            </w:r>
            <w:r>
              <w:rPr>
                <w:sz w:val="22"/>
                <w:szCs w:val="22"/>
              </w:rPr>
              <w:t>cipation at the June Conference</w:t>
            </w:r>
          </w:p>
          <w:p w14:paraId="54287BBB" w14:textId="77777777" w:rsidR="00A20EFB" w:rsidRPr="00B95C6C" w:rsidRDefault="00A20EFB" w:rsidP="00A20EFB">
            <w:pPr>
              <w:rPr>
                <w:rFonts w:cs="Times New Roman"/>
                <w:sz w:val="22"/>
                <w:szCs w:val="22"/>
              </w:rPr>
            </w:pPr>
          </w:p>
        </w:tc>
      </w:tr>
      <w:tr w:rsidR="00A20EFB" w:rsidRPr="00B95C6C" w14:paraId="71ACF504" w14:textId="301FA1E1" w:rsidTr="00A20EFB">
        <w:tc>
          <w:tcPr>
            <w:tcW w:w="1384" w:type="dxa"/>
          </w:tcPr>
          <w:p w14:paraId="191B4DC0" w14:textId="56E79C36" w:rsidR="00A20EFB" w:rsidRPr="00B95C6C" w:rsidRDefault="00A20EFB" w:rsidP="00C97D1F">
            <w:pPr>
              <w:jc w:val="both"/>
              <w:rPr>
                <w:sz w:val="22"/>
                <w:szCs w:val="22"/>
              </w:rPr>
            </w:pPr>
            <w:r w:rsidRPr="00B95C6C">
              <w:rPr>
                <w:b/>
                <w:sz w:val="22"/>
                <w:szCs w:val="22"/>
              </w:rPr>
              <w:lastRenderedPageBreak/>
              <w:t>Category 3:</w:t>
            </w:r>
            <w:r w:rsidRPr="00B95C6C">
              <w:rPr>
                <w:sz w:val="22"/>
                <w:szCs w:val="22"/>
              </w:rPr>
              <w:t xml:space="preserve"> </w:t>
            </w:r>
            <w:r>
              <w:rPr>
                <w:sz w:val="22"/>
                <w:szCs w:val="22"/>
              </w:rPr>
              <w:t>non-supportive states</w:t>
            </w:r>
            <w:r w:rsidRPr="00B95C6C">
              <w:rPr>
                <w:sz w:val="22"/>
                <w:szCs w:val="22"/>
              </w:rPr>
              <w:t xml:space="preserve"> </w:t>
            </w:r>
          </w:p>
        </w:tc>
        <w:tc>
          <w:tcPr>
            <w:tcW w:w="2977" w:type="dxa"/>
          </w:tcPr>
          <w:p w14:paraId="31F575CD" w14:textId="77777777" w:rsidR="00C97D1F" w:rsidRDefault="00A20EFB" w:rsidP="00A20EFB">
            <w:pPr>
              <w:widowControl w:val="0"/>
              <w:autoSpaceDE w:val="0"/>
              <w:autoSpaceDN w:val="0"/>
              <w:adjustRightInd w:val="0"/>
              <w:jc w:val="both"/>
              <w:rPr>
                <w:sz w:val="22"/>
                <w:szCs w:val="22"/>
              </w:rPr>
            </w:pPr>
            <w:r w:rsidRPr="001C4BD8">
              <w:rPr>
                <w:rFonts w:cs="Times New Roman"/>
                <w:color w:val="FF6600"/>
                <w:sz w:val="22"/>
                <w:szCs w:val="22"/>
              </w:rPr>
              <w:t>Colombia</w:t>
            </w:r>
            <w:r>
              <w:rPr>
                <w:sz w:val="22"/>
                <w:szCs w:val="22"/>
              </w:rPr>
              <w:t xml:space="preserve">, Germany, </w:t>
            </w:r>
            <w:r w:rsidRPr="00B95C6C">
              <w:rPr>
                <w:rFonts w:eastAsia="Times New Roman" w:cs="Times New Roman"/>
                <w:sz w:val="22"/>
                <w:szCs w:val="22"/>
                <w:lang w:eastAsia="en-US"/>
              </w:rPr>
              <w:t>UK</w:t>
            </w:r>
            <w:r>
              <w:rPr>
                <w:rFonts w:eastAsia="Times New Roman" w:cs="Times New Roman"/>
                <w:sz w:val="22"/>
                <w:szCs w:val="22"/>
                <w:lang w:eastAsia="en-US"/>
              </w:rPr>
              <w:t xml:space="preserve">, </w:t>
            </w:r>
            <w:r>
              <w:rPr>
                <w:sz w:val="22"/>
                <w:szCs w:val="22"/>
              </w:rPr>
              <w:t>USA</w:t>
            </w:r>
          </w:p>
          <w:p w14:paraId="79C2F1AA" w14:textId="30B4F4D1" w:rsidR="00A20EFB" w:rsidRDefault="00A20EFB" w:rsidP="00A20EFB">
            <w:pPr>
              <w:widowControl w:val="0"/>
              <w:autoSpaceDE w:val="0"/>
              <w:autoSpaceDN w:val="0"/>
              <w:adjustRightInd w:val="0"/>
              <w:jc w:val="both"/>
              <w:rPr>
                <w:rFonts w:eastAsia="Times New Roman" w:cs="Times New Roman"/>
                <w:sz w:val="22"/>
                <w:szCs w:val="22"/>
                <w:lang w:eastAsia="en-US"/>
              </w:rPr>
            </w:pPr>
            <w:r w:rsidRPr="00B95C6C">
              <w:rPr>
                <w:rFonts w:eastAsia="Times New Roman" w:cs="Times New Roman"/>
                <w:sz w:val="22"/>
                <w:szCs w:val="22"/>
                <w:lang w:eastAsia="en-US"/>
              </w:rPr>
              <w:t xml:space="preserve"> </w:t>
            </w:r>
          </w:p>
          <w:p w14:paraId="47826D6E" w14:textId="4737DBD4" w:rsidR="00C97D1F" w:rsidRPr="00B95C6C" w:rsidRDefault="00C97D1F" w:rsidP="00C97D1F">
            <w:pPr>
              <w:widowControl w:val="0"/>
              <w:autoSpaceDE w:val="0"/>
              <w:autoSpaceDN w:val="0"/>
              <w:adjustRightInd w:val="0"/>
              <w:jc w:val="both"/>
              <w:rPr>
                <w:sz w:val="22"/>
                <w:szCs w:val="22"/>
              </w:rPr>
            </w:pPr>
          </w:p>
        </w:tc>
        <w:tc>
          <w:tcPr>
            <w:tcW w:w="4155" w:type="dxa"/>
          </w:tcPr>
          <w:p w14:paraId="528C345B" w14:textId="77777777" w:rsidR="00A20EFB" w:rsidRDefault="00A20EFB" w:rsidP="00A9649E">
            <w:pPr>
              <w:pStyle w:val="ListParagraph"/>
              <w:numPr>
                <w:ilvl w:val="0"/>
                <w:numId w:val="14"/>
              </w:numPr>
              <w:ind w:left="459"/>
              <w:rPr>
                <w:sz w:val="22"/>
                <w:szCs w:val="22"/>
              </w:rPr>
            </w:pPr>
            <w:r w:rsidRPr="00A84950">
              <w:rPr>
                <w:sz w:val="22"/>
                <w:szCs w:val="22"/>
              </w:rPr>
              <w:t>Neutralize impact on other states</w:t>
            </w:r>
          </w:p>
          <w:p w14:paraId="6E3BFAB4" w14:textId="424B37C3" w:rsidR="00C97D1F" w:rsidRPr="00C97D1F" w:rsidRDefault="00C97D1F" w:rsidP="00C97D1F">
            <w:pPr>
              <w:ind w:left="99"/>
              <w:rPr>
                <w:sz w:val="22"/>
                <w:szCs w:val="22"/>
              </w:rPr>
            </w:pPr>
          </w:p>
          <w:p w14:paraId="489212A0" w14:textId="77777777" w:rsidR="00A20EFB" w:rsidRPr="001C4BD8" w:rsidRDefault="00A20EFB" w:rsidP="00A20EFB">
            <w:pPr>
              <w:widowControl w:val="0"/>
              <w:autoSpaceDE w:val="0"/>
              <w:autoSpaceDN w:val="0"/>
              <w:adjustRightInd w:val="0"/>
              <w:jc w:val="both"/>
              <w:rPr>
                <w:rFonts w:cs="Times New Roman"/>
                <w:color w:val="FF6600"/>
                <w:sz w:val="22"/>
                <w:szCs w:val="22"/>
              </w:rPr>
            </w:pPr>
          </w:p>
        </w:tc>
      </w:tr>
    </w:tbl>
    <w:p w14:paraId="64CC5AD2" w14:textId="77777777" w:rsidR="0015324C" w:rsidRDefault="0015324C" w:rsidP="00A20EFB">
      <w:pPr>
        <w:pStyle w:val="Normal1"/>
        <w:spacing w:after="0"/>
        <w:jc w:val="both"/>
        <w:rPr>
          <w:rFonts w:asciiTheme="minorHAnsi" w:hAnsiTheme="minorHAnsi"/>
          <w:sz w:val="22"/>
          <w:szCs w:val="22"/>
        </w:rPr>
      </w:pPr>
    </w:p>
    <w:p w14:paraId="37939746" w14:textId="77777777" w:rsidR="00A20EFB" w:rsidRDefault="00A20EFB" w:rsidP="00A20EFB">
      <w:pPr>
        <w:pStyle w:val="Normal1"/>
        <w:spacing w:after="0"/>
        <w:jc w:val="both"/>
        <w:rPr>
          <w:rFonts w:asciiTheme="minorHAnsi" w:hAnsiTheme="minorHAnsi"/>
          <w:sz w:val="22"/>
          <w:szCs w:val="22"/>
        </w:rPr>
      </w:pPr>
    </w:p>
    <w:p w14:paraId="778EF50E" w14:textId="3BFE77AB" w:rsidR="003F6804" w:rsidRPr="003F6804" w:rsidRDefault="003F6804" w:rsidP="003F6804">
      <w:pPr>
        <w:pStyle w:val="Heading2"/>
        <w:spacing w:before="0"/>
      </w:pPr>
      <w:bookmarkStart w:id="19" w:name="_Toc412485701"/>
      <w:r w:rsidRPr="003F6804">
        <w:t xml:space="preserve">3.2. </w:t>
      </w:r>
      <w:r w:rsidR="0031010D">
        <w:t>A</w:t>
      </w:r>
      <w:r w:rsidRPr="003F6804">
        <w:t>dvocacy with non-state armed groups:</w:t>
      </w:r>
      <w:bookmarkEnd w:id="19"/>
    </w:p>
    <w:p w14:paraId="1FBF4555" w14:textId="77777777" w:rsidR="003F6804" w:rsidRDefault="003F6804" w:rsidP="00A20EFB">
      <w:pPr>
        <w:pStyle w:val="Normal1"/>
        <w:spacing w:after="0"/>
        <w:jc w:val="both"/>
        <w:rPr>
          <w:rFonts w:asciiTheme="minorHAnsi" w:hAnsiTheme="minorHAnsi"/>
          <w:sz w:val="22"/>
          <w:szCs w:val="22"/>
        </w:rPr>
      </w:pPr>
    </w:p>
    <w:p w14:paraId="37897736" w14:textId="696C9278" w:rsidR="003F6804" w:rsidRDefault="00106F15" w:rsidP="003F6804">
      <w:pPr>
        <w:spacing w:after="0"/>
        <w:jc w:val="both"/>
        <w:rPr>
          <w:rFonts w:eastAsia="Calibri" w:cs="Times New Roman"/>
          <w:sz w:val="22"/>
          <w:szCs w:val="22"/>
          <w:lang w:val="en-US" w:eastAsia="en-US"/>
        </w:rPr>
      </w:pPr>
      <w:hyperlink r:id="rId18" w:history="1">
        <w:r w:rsidR="003F6804" w:rsidRPr="001A3367">
          <w:rPr>
            <w:rStyle w:val="Hyperlink"/>
            <w:rFonts w:eastAsia="Calibri" w:cs="Times New Roman"/>
            <w:sz w:val="22"/>
            <w:szCs w:val="22"/>
            <w:lang w:val="en-US" w:eastAsia="en-US"/>
          </w:rPr>
          <w:t>Geneva Call</w:t>
        </w:r>
      </w:hyperlink>
      <w:r w:rsidR="003F6804" w:rsidRPr="001A3367">
        <w:rPr>
          <w:rFonts w:eastAsia="Calibri" w:cs="Times New Roman"/>
          <w:sz w:val="22"/>
          <w:szCs w:val="22"/>
          <w:lang w:val="en-US" w:eastAsia="en-US"/>
        </w:rPr>
        <w:t xml:space="preserve">, a non-governmental organization dedicated to promoting respect by armed non-state actors for international humanitarian norms, is actively promoting the protection of schools from military use through their </w:t>
      </w:r>
      <w:hyperlink r:id="rId19" w:history="1">
        <w:r w:rsidR="003F6804" w:rsidRPr="00FE3D27">
          <w:rPr>
            <w:rStyle w:val="Hyperlink"/>
            <w:rFonts w:eastAsia="Calibri" w:cs="Times New Roman"/>
            <w:b/>
            <w:sz w:val="22"/>
            <w:szCs w:val="22"/>
            <w:lang w:val="en-US" w:eastAsia="en-US"/>
          </w:rPr>
          <w:t>Deed of Commitment</w:t>
        </w:r>
      </w:hyperlink>
      <w:r w:rsidR="003F6804" w:rsidRPr="001A3367">
        <w:rPr>
          <w:rFonts w:eastAsia="Calibri" w:cs="Times New Roman"/>
          <w:sz w:val="22"/>
          <w:szCs w:val="22"/>
          <w:lang w:val="en-US" w:eastAsia="en-US"/>
        </w:rPr>
        <w:t xml:space="preserve"> on child recruitment, signed by thirteen armed groups to date</w:t>
      </w:r>
      <w:r w:rsidR="003F6804">
        <w:rPr>
          <w:rFonts w:eastAsia="Calibri" w:cs="Times New Roman"/>
          <w:sz w:val="22"/>
          <w:szCs w:val="22"/>
          <w:lang w:val="en-US" w:eastAsia="en-US"/>
        </w:rPr>
        <w:t>, and in their trainings to armed groups</w:t>
      </w:r>
      <w:r w:rsidR="003F6804" w:rsidRPr="001A3367">
        <w:rPr>
          <w:rFonts w:eastAsia="Calibri" w:cs="Times New Roman"/>
          <w:sz w:val="22"/>
          <w:szCs w:val="22"/>
          <w:lang w:val="en-US" w:eastAsia="en-US"/>
        </w:rPr>
        <w:t xml:space="preserve">. </w:t>
      </w:r>
      <w:r w:rsidR="003F6804">
        <w:rPr>
          <w:rFonts w:eastAsia="Calibri" w:cs="Times New Roman"/>
          <w:sz w:val="22"/>
          <w:szCs w:val="22"/>
          <w:lang w:val="en-US" w:eastAsia="en-US"/>
        </w:rPr>
        <w:t xml:space="preserve">Geneva Call is also looking to mainstream the Guidelines in their </w:t>
      </w:r>
      <w:r w:rsidR="003F6804" w:rsidRPr="00FE3D27">
        <w:rPr>
          <w:rFonts w:eastAsia="Calibri" w:cs="Times New Roman"/>
          <w:b/>
          <w:sz w:val="22"/>
          <w:szCs w:val="22"/>
          <w:lang w:val="en-US" w:eastAsia="en-US"/>
        </w:rPr>
        <w:t>trainings</w:t>
      </w:r>
      <w:r w:rsidR="003F6804">
        <w:rPr>
          <w:rFonts w:eastAsia="Calibri" w:cs="Times New Roman"/>
          <w:sz w:val="22"/>
          <w:szCs w:val="22"/>
          <w:lang w:val="en-US" w:eastAsia="en-US"/>
        </w:rPr>
        <w:t xml:space="preserve"> on </w:t>
      </w:r>
      <w:r w:rsidR="003D3537">
        <w:rPr>
          <w:rFonts w:eastAsia="Calibri" w:cs="Times New Roman"/>
          <w:sz w:val="22"/>
          <w:szCs w:val="22"/>
          <w:lang w:val="en-US" w:eastAsia="en-US"/>
        </w:rPr>
        <w:t>gender issues</w:t>
      </w:r>
      <w:r w:rsidR="00275A73">
        <w:rPr>
          <w:rFonts w:eastAsia="Calibri" w:cs="Times New Roman"/>
          <w:sz w:val="22"/>
          <w:szCs w:val="22"/>
          <w:lang w:val="en-US" w:eastAsia="en-US"/>
        </w:rPr>
        <w:t xml:space="preserve">, humanitarian norms and landmines. </w:t>
      </w:r>
      <w:r w:rsidR="0031010D">
        <w:rPr>
          <w:rFonts w:eastAsia="Calibri" w:cs="Times New Roman"/>
          <w:sz w:val="22"/>
          <w:szCs w:val="22"/>
          <w:lang w:val="en-US" w:eastAsia="en-US"/>
        </w:rPr>
        <w:t>Of the countries prioritized by GCPEA for advocacy on the Guidelines, Geneva Call is engaged in dialogues with armed groups in</w:t>
      </w:r>
      <w:r w:rsidR="009443B7">
        <w:rPr>
          <w:rStyle w:val="FootnoteReference"/>
          <w:rFonts w:eastAsia="Calibri" w:cs="Times New Roman"/>
          <w:sz w:val="22"/>
          <w:szCs w:val="22"/>
          <w:lang w:val="en-US" w:eastAsia="en-US"/>
        </w:rPr>
        <w:footnoteReference w:id="7"/>
      </w:r>
      <w:r w:rsidR="0031010D">
        <w:rPr>
          <w:rFonts w:eastAsia="Calibri" w:cs="Times New Roman"/>
          <w:sz w:val="22"/>
          <w:szCs w:val="22"/>
          <w:lang w:val="en-US" w:eastAsia="en-US"/>
        </w:rPr>
        <w:t>:</w:t>
      </w:r>
    </w:p>
    <w:p w14:paraId="1DD7325C" w14:textId="77777777" w:rsidR="0031010D" w:rsidRDefault="0031010D" w:rsidP="003F6804">
      <w:pPr>
        <w:spacing w:after="0"/>
        <w:jc w:val="both"/>
        <w:rPr>
          <w:rFonts w:eastAsia="Calibri" w:cs="Times New Roman"/>
          <w:sz w:val="22"/>
          <w:szCs w:val="22"/>
          <w:lang w:val="en-US" w:eastAsia="en-US"/>
        </w:rPr>
      </w:pPr>
    </w:p>
    <w:p w14:paraId="7662FE10" w14:textId="2D9AD838" w:rsidR="009443B7" w:rsidRPr="0031010D" w:rsidRDefault="009443B7" w:rsidP="00A9649E">
      <w:pPr>
        <w:pStyle w:val="ListParagraph"/>
        <w:numPr>
          <w:ilvl w:val="0"/>
          <w:numId w:val="16"/>
        </w:numPr>
        <w:spacing w:after="0"/>
        <w:jc w:val="both"/>
        <w:rPr>
          <w:rFonts w:eastAsia="Calibri" w:cs="Times New Roman"/>
          <w:sz w:val="22"/>
          <w:szCs w:val="22"/>
          <w:lang w:val="en-US" w:eastAsia="en-US"/>
        </w:rPr>
      </w:pPr>
      <w:r w:rsidRPr="009443B7">
        <w:rPr>
          <w:rFonts w:eastAsia="Calibri" w:cs="Times New Roman"/>
          <w:b/>
          <w:sz w:val="22"/>
          <w:szCs w:val="22"/>
          <w:lang w:val="en-US" w:eastAsia="en-US"/>
        </w:rPr>
        <w:t>Burma/Myanmar</w:t>
      </w:r>
    </w:p>
    <w:p w14:paraId="00C87831" w14:textId="12305EC3" w:rsidR="0031010D" w:rsidRPr="0031010D" w:rsidRDefault="0031010D" w:rsidP="00A9649E">
      <w:pPr>
        <w:pStyle w:val="ListParagraph"/>
        <w:numPr>
          <w:ilvl w:val="0"/>
          <w:numId w:val="16"/>
        </w:numPr>
        <w:spacing w:after="0"/>
        <w:jc w:val="both"/>
        <w:rPr>
          <w:rFonts w:eastAsia="Calibri" w:cs="Times New Roman"/>
          <w:sz w:val="22"/>
          <w:szCs w:val="22"/>
          <w:lang w:val="de-CH" w:eastAsia="en-US"/>
        </w:rPr>
      </w:pPr>
      <w:r w:rsidRPr="0031010D">
        <w:rPr>
          <w:rFonts w:eastAsia="Calibri" w:cs="Times New Roman"/>
          <w:sz w:val="22"/>
          <w:szCs w:val="22"/>
          <w:lang w:val="de-CH" w:eastAsia="en-US"/>
        </w:rPr>
        <w:t>Burundi</w:t>
      </w:r>
    </w:p>
    <w:p w14:paraId="18DA38B5" w14:textId="2865B85C" w:rsidR="0031010D" w:rsidRPr="0031010D" w:rsidRDefault="009443B7" w:rsidP="00A9649E">
      <w:pPr>
        <w:pStyle w:val="ListParagraph"/>
        <w:numPr>
          <w:ilvl w:val="0"/>
          <w:numId w:val="16"/>
        </w:numPr>
        <w:spacing w:after="0"/>
        <w:jc w:val="both"/>
        <w:rPr>
          <w:rFonts w:eastAsia="Calibri" w:cs="Times New Roman"/>
          <w:sz w:val="22"/>
          <w:szCs w:val="22"/>
          <w:lang w:val="de-CH" w:eastAsia="en-US"/>
        </w:rPr>
      </w:pPr>
      <w:r w:rsidRPr="009443B7">
        <w:rPr>
          <w:rFonts w:eastAsia="Calibri" w:cs="Times New Roman"/>
          <w:b/>
          <w:noProof/>
          <w:sz w:val="22"/>
          <w:szCs w:val="22"/>
          <w:lang w:val="fr-CH" w:eastAsia="fr-CH"/>
        </w:rPr>
        <mc:AlternateContent>
          <mc:Choice Requires="wps">
            <w:drawing>
              <wp:anchor distT="0" distB="0" distL="114300" distR="114300" simplePos="0" relativeHeight="251659264" behindDoc="0" locked="0" layoutInCell="1" allowOverlap="1" wp14:anchorId="62023B6D" wp14:editId="783ABF5B">
                <wp:simplePos x="0" y="0"/>
                <wp:positionH relativeFrom="column">
                  <wp:posOffset>2165350</wp:posOffset>
                </wp:positionH>
                <wp:positionV relativeFrom="paragraph">
                  <wp:posOffset>106680</wp:posOffset>
                </wp:positionV>
                <wp:extent cx="3041650" cy="1403985"/>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403985"/>
                        </a:xfrm>
                        <a:prstGeom prst="rect">
                          <a:avLst/>
                        </a:prstGeom>
                        <a:solidFill>
                          <a:srgbClr val="FFFFFF"/>
                        </a:solidFill>
                        <a:ln w="9525">
                          <a:solidFill>
                            <a:srgbClr val="000000"/>
                          </a:solidFill>
                          <a:miter lim="800000"/>
                          <a:headEnd/>
                          <a:tailEnd/>
                        </a:ln>
                      </wps:spPr>
                      <wps:txbx>
                        <w:txbxContent>
                          <w:p w14:paraId="00CC0837" w14:textId="77777777" w:rsidR="00BF5D31" w:rsidRDefault="00BF5D31" w:rsidP="009443B7">
                            <w:pPr>
                              <w:spacing w:after="0"/>
                              <w:jc w:val="both"/>
                              <w:rPr>
                                <w:rFonts w:eastAsia="Calibri" w:cs="Times New Roman"/>
                                <w:sz w:val="22"/>
                                <w:szCs w:val="22"/>
                                <w:lang w:val="en-US" w:eastAsia="en-US"/>
                              </w:rPr>
                            </w:pPr>
                            <w:r w:rsidRPr="009443B7">
                              <w:rPr>
                                <w:rFonts w:eastAsia="Calibri" w:cs="Times New Roman"/>
                                <w:b/>
                                <w:sz w:val="22"/>
                                <w:szCs w:val="22"/>
                                <w:lang w:val="en-US" w:eastAsia="en-US"/>
                              </w:rPr>
                              <w:t>Key:</w:t>
                            </w:r>
                            <w:r>
                              <w:rPr>
                                <w:rFonts w:eastAsia="Calibri" w:cs="Times New Roman"/>
                                <w:sz w:val="22"/>
                                <w:szCs w:val="22"/>
                                <w:lang w:val="en-US" w:eastAsia="en-US"/>
                              </w:rPr>
                              <w:t xml:space="preserve"> </w:t>
                            </w:r>
                          </w:p>
                          <w:p w14:paraId="61875621" w14:textId="77777777" w:rsidR="00BF5D31" w:rsidRDefault="00BF5D31" w:rsidP="009443B7">
                            <w:pPr>
                              <w:spacing w:after="0"/>
                              <w:jc w:val="both"/>
                              <w:rPr>
                                <w:rFonts w:eastAsia="Calibri" w:cs="Times New Roman"/>
                                <w:sz w:val="22"/>
                                <w:szCs w:val="22"/>
                                <w:lang w:val="en-US" w:eastAsia="en-US"/>
                              </w:rPr>
                            </w:pPr>
                          </w:p>
                          <w:p w14:paraId="24903FB8" w14:textId="77777777" w:rsidR="00BF5D31" w:rsidRDefault="00BF5D31" w:rsidP="009443B7">
                            <w:pPr>
                              <w:spacing w:after="0"/>
                              <w:jc w:val="both"/>
                              <w:rPr>
                                <w:rFonts w:eastAsia="Calibri" w:cs="Times New Roman"/>
                                <w:sz w:val="22"/>
                                <w:szCs w:val="22"/>
                                <w:lang w:val="en-US" w:eastAsia="en-US"/>
                              </w:rPr>
                            </w:pPr>
                            <w:r w:rsidRPr="00FE3D27">
                              <w:rPr>
                                <w:rFonts w:eastAsia="Calibri" w:cs="Times New Roman"/>
                                <w:b/>
                                <w:sz w:val="22"/>
                                <w:szCs w:val="22"/>
                                <w:lang w:val="en-US" w:eastAsia="en-US"/>
                              </w:rPr>
                              <w:t>Bold</w:t>
                            </w:r>
                            <w:r>
                              <w:rPr>
                                <w:rFonts w:eastAsia="Calibri" w:cs="Times New Roman"/>
                                <w:sz w:val="22"/>
                                <w:szCs w:val="22"/>
                                <w:lang w:val="en-US" w:eastAsia="en-US"/>
                              </w:rPr>
                              <w:t xml:space="preserve"> = countries where armed groups have signed the Deed of Commitment of child protection</w:t>
                            </w:r>
                          </w:p>
                          <w:p w14:paraId="2C01F100" w14:textId="77777777" w:rsidR="00BF5D31" w:rsidRDefault="00BF5D31" w:rsidP="009443B7">
                            <w:pPr>
                              <w:spacing w:after="0"/>
                              <w:jc w:val="both"/>
                              <w:rPr>
                                <w:rFonts w:eastAsia="Calibri" w:cs="Times New Roman"/>
                                <w:sz w:val="22"/>
                                <w:szCs w:val="22"/>
                                <w:lang w:val="en-US" w:eastAsia="en-US"/>
                              </w:rPr>
                            </w:pPr>
                          </w:p>
                          <w:p w14:paraId="1706CF19" w14:textId="2000149F" w:rsidR="00BF5D31" w:rsidRPr="009443B7" w:rsidRDefault="00BF5D31" w:rsidP="009443B7">
                            <w:pPr>
                              <w:spacing w:after="0"/>
                              <w:jc w:val="both"/>
                              <w:rPr>
                                <w:rFonts w:eastAsia="Calibri" w:cs="Times New Roman"/>
                                <w:sz w:val="22"/>
                                <w:szCs w:val="22"/>
                                <w:lang w:val="en-US" w:eastAsia="en-US"/>
                              </w:rPr>
                            </w:pPr>
                            <w:r w:rsidRPr="00FE3D27">
                              <w:rPr>
                                <w:rFonts w:eastAsia="Calibri" w:cs="Times New Roman"/>
                                <w:b/>
                                <w:sz w:val="22"/>
                                <w:szCs w:val="22"/>
                                <w:lang w:val="en-US" w:eastAsia="en-US"/>
                              </w:rPr>
                              <w:t>*</w:t>
                            </w:r>
                            <w:r>
                              <w:rPr>
                                <w:rFonts w:eastAsia="Calibri" w:cs="Times New Roman"/>
                                <w:sz w:val="22"/>
                                <w:szCs w:val="22"/>
                                <w:lang w:val="en-US" w:eastAsia="en-US"/>
                              </w:rPr>
                              <w:t xml:space="preserve"> = countries where Geneva Call is engaging on dialogue on child protection.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0.5pt;margin-top:8.4pt;width:2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yTJgIAAE4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">
                <v:textbox style="mso-fit-shape-to-text:t">
                  <w:txbxContent>
                    <w:p w14:paraId="00CC0837" w14:textId="77777777" w:rsidR="00BF5D31" w:rsidRDefault="00BF5D31" w:rsidP="009443B7">
                      <w:pPr>
                        <w:spacing w:after="0"/>
                        <w:jc w:val="both"/>
                        <w:rPr>
                          <w:rFonts w:eastAsia="Calibri" w:cs="Times New Roman"/>
                          <w:sz w:val="22"/>
                          <w:szCs w:val="22"/>
                          <w:lang w:val="en-US" w:eastAsia="en-US"/>
                        </w:rPr>
                      </w:pPr>
                      <w:r w:rsidRPr="009443B7">
                        <w:rPr>
                          <w:rFonts w:eastAsia="Calibri" w:cs="Times New Roman"/>
                          <w:b/>
                          <w:sz w:val="22"/>
                          <w:szCs w:val="22"/>
                          <w:lang w:val="en-US" w:eastAsia="en-US"/>
                        </w:rPr>
                        <w:t>Key:</w:t>
                      </w:r>
                      <w:r>
                        <w:rPr>
                          <w:rFonts w:eastAsia="Calibri" w:cs="Times New Roman"/>
                          <w:sz w:val="22"/>
                          <w:szCs w:val="22"/>
                          <w:lang w:val="en-US" w:eastAsia="en-US"/>
                        </w:rPr>
                        <w:t xml:space="preserve"> </w:t>
                      </w:r>
                    </w:p>
                    <w:p w14:paraId="61875621" w14:textId="77777777" w:rsidR="00BF5D31" w:rsidRDefault="00BF5D31" w:rsidP="009443B7">
                      <w:pPr>
                        <w:spacing w:after="0"/>
                        <w:jc w:val="both"/>
                        <w:rPr>
                          <w:rFonts w:eastAsia="Calibri" w:cs="Times New Roman"/>
                          <w:sz w:val="22"/>
                          <w:szCs w:val="22"/>
                          <w:lang w:val="en-US" w:eastAsia="en-US"/>
                        </w:rPr>
                      </w:pPr>
                    </w:p>
                    <w:p w14:paraId="24903FB8" w14:textId="77777777" w:rsidR="00BF5D31" w:rsidRDefault="00BF5D31" w:rsidP="009443B7">
                      <w:pPr>
                        <w:spacing w:after="0"/>
                        <w:jc w:val="both"/>
                        <w:rPr>
                          <w:rFonts w:eastAsia="Calibri" w:cs="Times New Roman"/>
                          <w:sz w:val="22"/>
                          <w:szCs w:val="22"/>
                          <w:lang w:val="en-US" w:eastAsia="en-US"/>
                        </w:rPr>
                      </w:pPr>
                      <w:r w:rsidRPr="00FE3D27">
                        <w:rPr>
                          <w:rFonts w:eastAsia="Calibri" w:cs="Times New Roman"/>
                          <w:b/>
                          <w:sz w:val="22"/>
                          <w:szCs w:val="22"/>
                          <w:lang w:val="en-US" w:eastAsia="en-US"/>
                        </w:rPr>
                        <w:t>Bold</w:t>
                      </w:r>
                      <w:r>
                        <w:rPr>
                          <w:rFonts w:eastAsia="Calibri" w:cs="Times New Roman"/>
                          <w:sz w:val="22"/>
                          <w:szCs w:val="22"/>
                          <w:lang w:val="en-US" w:eastAsia="en-US"/>
                        </w:rPr>
                        <w:t xml:space="preserve"> = countries where armed groups have signed the Deed of Commitment of child protection</w:t>
                      </w:r>
                    </w:p>
                    <w:p w14:paraId="2C01F100" w14:textId="77777777" w:rsidR="00BF5D31" w:rsidRDefault="00BF5D31" w:rsidP="009443B7">
                      <w:pPr>
                        <w:spacing w:after="0"/>
                        <w:jc w:val="both"/>
                        <w:rPr>
                          <w:rFonts w:eastAsia="Calibri" w:cs="Times New Roman"/>
                          <w:sz w:val="22"/>
                          <w:szCs w:val="22"/>
                          <w:lang w:val="en-US" w:eastAsia="en-US"/>
                        </w:rPr>
                      </w:pPr>
                    </w:p>
                    <w:p w14:paraId="1706CF19" w14:textId="2000149F" w:rsidR="00BF5D31" w:rsidRPr="009443B7" w:rsidRDefault="00BF5D31" w:rsidP="009443B7">
                      <w:pPr>
                        <w:spacing w:after="0"/>
                        <w:jc w:val="both"/>
                        <w:rPr>
                          <w:rFonts w:eastAsia="Calibri" w:cs="Times New Roman"/>
                          <w:sz w:val="22"/>
                          <w:szCs w:val="22"/>
                          <w:lang w:val="en-US" w:eastAsia="en-US"/>
                        </w:rPr>
                      </w:pPr>
                      <w:r w:rsidRPr="00FE3D27">
                        <w:rPr>
                          <w:rFonts w:eastAsia="Calibri" w:cs="Times New Roman"/>
                          <w:b/>
                          <w:sz w:val="22"/>
                          <w:szCs w:val="22"/>
                          <w:lang w:val="en-US" w:eastAsia="en-US"/>
                        </w:rPr>
                        <w:t>*</w:t>
                      </w:r>
                      <w:r>
                        <w:rPr>
                          <w:rFonts w:eastAsia="Calibri" w:cs="Times New Roman"/>
                          <w:sz w:val="22"/>
                          <w:szCs w:val="22"/>
                          <w:lang w:val="en-US" w:eastAsia="en-US"/>
                        </w:rPr>
                        <w:t xml:space="preserve"> = countries where Geneva Call is engaging on dialogue on child protection.</w:t>
                      </w:r>
                    </w:p>
                  </w:txbxContent>
                </v:textbox>
              </v:shape>
            </w:pict>
          </mc:Fallback>
        </mc:AlternateContent>
      </w:r>
      <w:r w:rsidR="0031010D" w:rsidRPr="0031010D">
        <w:rPr>
          <w:rFonts w:eastAsia="Calibri" w:cs="Times New Roman"/>
          <w:sz w:val="22"/>
          <w:szCs w:val="22"/>
          <w:lang w:val="de-CH" w:eastAsia="en-US"/>
        </w:rPr>
        <w:t>Colombia</w:t>
      </w:r>
      <w:r>
        <w:rPr>
          <w:rFonts w:eastAsia="Calibri" w:cs="Times New Roman"/>
          <w:sz w:val="22"/>
          <w:szCs w:val="22"/>
          <w:lang w:val="de-CH" w:eastAsia="en-US"/>
        </w:rPr>
        <w:t>*</w:t>
      </w:r>
    </w:p>
    <w:p w14:paraId="743E79E9" w14:textId="77777777"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Georgia</w:t>
      </w:r>
    </w:p>
    <w:p w14:paraId="5888B492" w14:textId="31629B58"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9443B7">
        <w:rPr>
          <w:rFonts w:eastAsia="Calibri" w:cs="Times New Roman"/>
          <w:b/>
          <w:sz w:val="22"/>
          <w:szCs w:val="22"/>
          <w:lang w:val="en-US" w:eastAsia="en-US"/>
        </w:rPr>
        <w:t>India</w:t>
      </w:r>
    </w:p>
    <w:p w14:paraId="0F842F84" w14:textId="77777777"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Indonesia</w:t>
      </w:r>
    </w:p>
    <w:p w14:paraId="27DE91A7" w14:textId="2EEE5B22"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9443B7">
        <w:rPr>
          <w:rFonts w:eastAsia="Calibri" w:cs="Times New Roman"/>
          <w:b/>
          <w:sz w:val="22"/>
          <w:szCs w:val="22"/>
          <w:lang w:val="en-US" w:eastAsia="en-US"/>
        </w:rPr>
        <w:t>Iran</w:t>
      </w:r>
    </w:p>
    <w:p w14:paraId="20866C04" w14:textId="77777777"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Iraq</w:t>
      </w:r>
    </w:p>
    <w:p w14:paraId="63288E6C" w14:textId="26D55637" w:rsidR="009443B7" w:rsidRPr="0031010D" w:rsidRDefault="009443B7"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Lebanon</w:t>
      </w:r>
      <w:r>
        <w:rPr>
          <w:rFonts w:eastAsia="Calibri" w:cs="Times New Roman"/>
          <w:sz w:val="22"/>
          <w:szCs w:val="22"/>
          <w:lang w:val="en-US" w:eastAsia="en-US"/>
        </w:rPr>
        <w:t>*</w:t>
      </w:r>
    </w:p>
    <w:p w14:paraId="25B7AB39" w14:textId="512A55A1" w:rsidR="0031010D" w:rsidRPr="0031010D" w:rsidRDefault="0031010D" w:rsidP="00A9649E">
      <w:pPr>
        <w:pStyle w:val="ListParagraph"/>
        <w:numPr>
          <w:ilvl w:val="0"/>
          <w:numId w:val="16"/>
        </w:numPr>
        <w:spacing w:after="0"/>
        <w:jc w:val="both"/>
        <w:rPr>
          <w:rFonts w:eastAsia="Calibri" w:cs="Times New Roman"/>
          <w:sz w:val="22"/>
          <w:szCs w:val="22"/>
          <w:lang w:val="de-CH" w:eastAsia="en-US"/>
        </w:rPr>
      </w:pPr>
      <w:r w:rsidRPr="0031010D">
        <w:rPr>
          <w:rFonts w:eastAsia="Calibri" w:cs="Times New Roman"/>
          <w:sz w:val="22"/>
          <w:szCs w:val="22"/>
          <w:lang w:val="de-CH" w:eastAsia="en-US"/>
        </w:rPr>
        <w:t>Mali</w:t>
      </w:r>
    </w:p>
    <w:p w14:paraId="3A710881" w14:textId="77777777" w:rsidR="009443B7" w:rsidRPr="0031010D" w:rsidRDefault="009443B7"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Nepal</w:t>
      </w:r>
    </w:p>
    <w:p w14:paraId="64B00E88" w14:textId="5A237CE0" w:rsidR="0031010D" w:rsidRPr="0031010D" w:rsidRDefault="0031010D" w:rsidP="00A9649E">
      <w:pPr>
        <w:pStyle w:val="ListParagraph"/>
        <w:numPr>
          <w:ilvl w:val="0"/>
          <w:numId w:val="16"/>
        </w:numPr>
        <w:spacing w:after="0"/>
        <w:jc w:val="both"/>
        <w:rPr>
          <w:rFonts w:eastAsia="Calibri" w:cs="Times New Roman"/>
          <w:sz w:val="22"/>
          <w:szCs w:val="22"/>
          <w:lang w:val="de-CH" w:eastAsia="en-US"/>
        </w:rPr>
      </w:pPr>
      <w:r w:rsidRPr="0031010D">
        <w:rPr>
          <w:rFonts w:eastAsia="Calibri" w:cs="Times New Roman"/>
          <w:sz w:val="22"/>
          <w:szCs w:val="22"/>
          <w:lang w:val="de-CH" w:eastAsia="en-US"/>
        </w:rPr>
        <w:t>Niger</w:t>
      </w:r>
    </w:p>
    <w:p w14:paraId="461E3E00" w14:textId="77777777" w:rsidR="009443B7" w:rsidRPr="0031010D" w:rsidRDefault="009443B7"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Philippines</w:t>
      </w:r>
    </w:p>
    <w:p w14:paraId="6023D807" w14:textId="5F585B51" w:rsidR="0031010D" w:rsidRPr="0031010D" w:rsidRDefault="0031010D" w:rsidP="00A9649E">
      <w:pPr>
        <w:pStyle w:val="ListParagraph"/>
        <w:numPr>
          <w:ilvl w:val="0"/>
          <w:numId w:val="16"/>
        </w:numPr>
        <w:spacing w:after="0"/>
        <w:jc w:val="both"/>
        <w:rPr>
          <w:rFonts w:eastAsia="Calibri" w:cs="Times New Roman"/>
          <w:sz w:val="22"/>
          <w:szCs w:val="22"/>
          <w:lang w:val="de-CH" w:eastAsia="en-US"/>
        </w:rPr>
      </w:pPr>
      <w:r w:rsidRPr="0031010D">
        <w:rPr>
          <w:rFonts w:eastAsia="Calibri" w:cs="Times New Roman"/>
          <w:sz w:val="22"/>
          <w:szCs w:val="22"/>
          <w:lang w:val="de-CH" w:eastAsia="en-US"/>
        </w:rPr>
        <w:t>Senegal</w:t>
      </w:r>
    </w:p>
    <w:p w14:paraId="1E7A92A4" w14:textId="292431E3" w:rsidR="0031010D" w:rsidRPr="0031010D" w:rsidRDefault="0031010D" w:rsidP="00A9649E">
      <w:pPr>
        <w:pStyle w:val="ListParagraph"/>
        <w:numPr>
          <w:ilvl w:val="0"/>
          <w:numId w:val="16"/>
        </w:numPr>
        <w:spacing w:after="0"/>
        <w:jc w:val="both"/>
        <w:rPr>
          <w:rFonts w:eastAsia="Calibri" w:cs="Times New Roman"/>
          <w:sz w:val="22"/>
          <w:szCs w:val="22"/>
          <w:lang w:val="de-CH" w:eastAsia="en-US"/>
        </w:rPr>
      </w:pPr>
      <w:r w:rsidRPr="0031010D">
        <w:rPr>
          <w:rFonts w:eastAsia="Calibri" w:cs="Times New Roman"/>
          <w:sz w:val="22"/>
          <w:szCs w:val="22"/>
          <w:lang w:val="de-CH" w:eastAsia="en-US"/>
        </w:rPr>
        <w:t>Somalia</w:t>
      </w:r>
    </w:p>
    <w:p w14:paraId="5BB4260A" w14:textId="615946D5" w:rsidR="0031010D" w:rsidRPr="0031010D" w:rsidRDefault="0031010D" w:rsidP="00A9649E">
      <w:pPr>
        <w:pStyle w:val="ListParagraph"/>
        <w:numPr>
          <w:ilvl w:val="0"/>
          <w:numId w:val="16"/>
        </w:numPr>
        <w:spacing w:after="0"/>
        <w:jc w:val="both"/>
        <w:rPr>
          <w:rFonts w:eastAsia="Calibri" w:cs="Times New Roman"/>
          <w:sz w:val="22"/>
          <w:szCs w:val="22"/>
          <w:lang w:val="de-CH" w:eastAsia="en-US"/>
        </w:rPr>
      </w:pPr>
      <w:r w:rsidRPr="0031010D">
        <w:rPr>
          <w:rFonts w:eastAsia="Calibri" w:cs="Times New Roman"/>
          <w:sz w:val="22"/>
          <w:szCs w:val="22"/>
          <w:lang w:val="de-CH" w:eastAsia="en-US"/>
        </w:rPr>
        <w:t>Sudan</w:t>
      </w:r>
      <w:r w:rsidR="009443B7">
        <w:rPr>
          <w:rFonts w:eastAsia="Calibri" w:cs="Times New Roman"/>
          <w:sz w:val="22"/>
          <w:szCs w:val="22"/>
          <w:lang w:val="de-CH" w:eastAsia="en-US"/>
        </w:rPr>
        <w:t>*</w:t>
      </w:r>
    </w:p>
    <w:p w14:paraId="729AD9F0" w14:textId="72312E56"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Sri Lanka</w:t>
      </w:r>
    </w:p>
    <w:p w14:paraId="71710FE9" w14:textId="092AEADE"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9443B7">
        <w:rPr>
          <w:rFonts w:eastAsia="Calibri" w:cs="Times New Roman"/>
          <w:b/>
          <w:sz w:val="22"/>
          <w:szCs w:val="22"/>
          <w:lang w:val="en-US" w:eastAsia="en-US"/>
        </w:rPr>
        <w:t>Syria</w:t>
      </w:r>
    </w:p>
    <w:p w14:paraId="527407A7" w14:textId="56AA3B9C"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Turkey</w:t>
      </w:r>
    </w:p>
    <w:p w14:paraId="34FFDC11" w14:textId="4AB542ED" w:rsidR="0031010D" w:rsidRPr="0031010D" w:rsidRDefault="0031010D" w:rsidP="00A9649E">
      <w:pPr>
        <w:pStyle w:val="ListParagraph"/>
        <w:numPr>
          <w:ilvl w:val="0"/>
          <w:numId w:val="16"/>
        </w:numPr>
        <w:spacing w:after="0"/>
        <w:jc w:val="both"/>
        <w:rPr>
          <w:rFonts w:eastAsia="Calibri" w:cs="Times New Roman"/>
          <w:sz w:val="22"/>
          <w:szCs w:val="22"/>
          <w:lang w:val="en-US" w:eastAsia="en-US"/>
        </w:rPr>
      </w:pPr>
      <w:r w:rsidRPr="0031010D">
        <w:rPr>
          <w:rFonts w:eastAsia="Calibri" w:cs="Times New Roman"/>
          <w:sz w:val="22"/>
          <w:szCs w:val="22"/>
          <w:lang w:val="en-US" w:eastAsia="en-US"/>
        </w:rPr>
        <w:t>Yemen</w:t>
      </w:r>
      <w:r w:rsidR="009443B7">
        <w:rPr>
          <w:rFonts w:eastAsia="Calibri" w:cs="Times New Roman"/>
          <w:sz w:val="22"/>
          <w:szCs w:val="22"/>
          <w:lang w:val="en-US" w:eastAsia="en-US"/>
        </w:rPr>
        <w:t>*</w:t>
      </w:r>
    </w:p>
    <w:p w14:paraId="1B770F12" w14:textId="77777777" w:rsidR="00275A73" w:rsidRPr="0031010D" w:rsidRDefault="00275A73" w:rsidP="003F6804">
      <w:pPr>
        <w:spacing w:after="0"/>
        <w:jc w:val="both"/>
        <w:rPr>
          <w:rFonts w:eastAsia="Calibri" w:cs="Times New Roman"/>
          <w:sz w:val="22"/>
          <w:szCs w:val="22"/>
          <w:lang w:val="en-US" w:eastAsia="en-US"/>
        </w:rPr>
      </w:pPr>
    </w:p>
    <w:p w14:paraId="555C61AF" w14:textId="505A6013" w:rsidR="00275A73" w:rsidRDefault="003F6804" w:rsidP="003F6804">
      <w:pPr>
        <w:jc w:val="both"/>
        <w:rPr>
          <w:rFonts w:eastAsia="Calibri" w:cs="Times New Roman"/>
          <w:sz w:val="22"/>
          <w:szCs w:val="22"/>
          <w:lang w:val="en-US" w:eastAsia="en-US"/>
        </w:rPr>
      </w:pPr>
      <w:r w:rsidRPr="001A3367">
        <w:rPr>
          <w:rFonts w:eastAsia="Calibri" w:cs="Times New Roman"/>
          <w:sz w:val="22"/>
          <w:szCs w:val="22"/>
          <w:lang w:val="en-US" w:eastAsia="en-US"/>
        </w:rPr>
        <w:t xml:space="preserve">The </w:t>
      </w:r>
      <w:r w:rsidRPr="00275A73">
        <w:rPr>
          <w:rFonts w:eastAsia="Calibri" w:cs="Times New Roman"/>
          <w:b/>
          <w:sz w:val="22"/>
          <w:szCs w:val="22"/>
          <w:lang w:val="en-US" w:eastAsia="en-US"/>
        </w:rPr>
        <w:t>1612 Monitoring and Reporting Mechanism</w:t>
      </w:r>
      <w:r w:rsidR="00275A73">
        <w:rPr>
          <w:rFonts w:eastAsia="Calibri" w:cs="Times New Roman"/>
          <w:b/>
          <w:sz w:val="22"/>
          <w:szCs w:val="22"/>
          <w:lang w:val="en-US" w:eastAsia="en-US"/>
        </w:rPr>
        <w:t xml:space="preserve"> (MRM)</w:t>
      </w:r>
      <w:r w:rsidRPr="001A3367">
        <w:rPr>
          <w:rFonts w:eastAsia="Calibri" w:cs="Times New Roman"/>
          <w:sz w:val="22"/>
          <w:szCs w:val="22"/>
          <w:lang w:val="en-US" w:eastAsia="en-US"/>
        </w:rPr>
        <w:t xml:space="preserve"> is another potential avenue for outreach to armed groups</w:t>
      </w:r>
      <w:r w:rsidR="00275A73">
        <w:rPr>
          <w:rFonts w:eastAsia="Calibri" w:cs="Times New Roman"/>
          <w:sz w:val="22"/>
          <w:szCs w:val="22"/>
          <w:lang w:val="en-US" w:eastAsia="en-US"/>
        </w:rPr>
        <w:t>. The mechanism created by Security Council Resolution 1612 (2005) monitors, reports and responds to six grave violations:</w:t>
      </w:r>
    </w:p>
    <w:p w14:paraId="47771549" w14:textId="3E785BEC" w:rsidR="00275A73" w:rsidRPr="00275A73" w:rsidRDefault="00275A73" w:rsidP="00A9649E">
      <w:pPr>
        <w:pStyle w:val="ListParagraph"/>
        <w:numPr>
          <w:ilvl w:val="0"/>
          <w:numId w:val="15"/>
        </w:numPr>
        <w:jc w:val="both"/>
        <w:rPr>
          <w:rFonts w:eastAsia="Calibri" w:cs="Times New Roman"/>
          <w:sz w:val="22"/>
          <w:szCs w:val="22"/>
          <w:lang w:val="en-US" w:eastAsia="en-US"/>
        </w:rPr>
      </w:pPr>
      <w:r w:rsidRPr="00275A73">
        <w:rPr>
          <w:rFonts w:eastAsia="Calibri" w:cs="Times New Roman"/>
          <w:sz w:val="22"/>
          <w:szCs w:val="22"/>
          <w:lang w:val="en-US" w:eastAsia="en-US"/>
        </w:rPr>
        <w:t>Killing and maiming of children</w:t>
      </w:r>
    </w:p>
    <w:p w14:paraId="60C0DC16" w14:textId="68D167A0" w:rsidR="00275A73" w:rsidRPr="00275A73" w:rsidRDefault="00275A73" w:rsidP="00A9649E">
      <w:pPr>
        <w:pStyle w:val="ListParagraph"/>
        <w:numPr>
          <w:ilvl w:val="0"/>
          <w:numId w:val="15"/>
        </w:numPr>
        <w:jc w:val="both"/>
        <w:rPr>
          <w:rFonts w:eastAsia="Calibri" w:cs="Times New Roman"/>
          <w:sz w:val="22"/>
          <w:szCs w:val="22"/>
          <w:lang w:val="en-US" w:eastAsia="en-US"/>
        </w:rPr>
      </w:pPr>
      <w:r w:rsidRPr="00275A73">
        <w:rPr>
          <w:rFonts w:eastAsia="Calibri" w:cs="Times New Roman"/>
          <w:sz w:val="22"/>
          <w:szCs w:val="22"/>
          <w:lang w:val="en-US" w:eastAsia="en-US"/>
        </w:rPr>
        <w:lastRenderedPageBreak/>
        <w:t>Recruitment and use of children</w:t>
      </w:r>
    </w:p>
    <w:p w14:paraId="4D48CFBB" w14:textId="77777777" w:rsidR="003D3537" w:rsidRPr="00275A73" w:rsidRDefault="003D3537" w:rsidP="00A9649E">
      <w:pPr>
        <w:pStyle w:val="ListParagraph"/>
        <w:numPr>
          <w:ilvl w:val="0"/>
          <w:numId w:val="15"/>
        </w:numPr>
        <w:jc w:val="both"/>
        <w:rPr>
          <w:rFonts w:eastAsia="Calibri" w:cs="Times New Roman"/>
          <w:sz w:val="22"/>
          <w:szCs w:val="22"/>
          <w:lang w:val="en-US" w:eastAsia="en-US"/>
        </w:rPr>
      </w:pPr>
      <w:r w:rsidRPr="00275A73">
        <w:rPr>
          <w:rFonts w:eastAsia="Calibri" w:cs="Times New Roman"/>
          <w:sz w:val="22"/>
          <w:szCs w:val="22"/>
          <w:lang w:val="en-US" w:eastAsia="en-US"/>
        </w:rPr>
        <w:t>Rape and sexual violence</w:t>
      </w:r>
      <w:r>
        <w:rPr>
          <w:rFonts w:eastAsia="Calibri" w:cs="Times New Roman"/>
          <w:sz w:val="22"/>
          <w:szCs w:val="22"/>
          <w:lang w:val="en-US" w:eastAsia="en-US"/>
        </w:rPr>
        <w:t xml:space="preserve"> against children</w:t>
      </w:r>
    </w:p>
    <w:p w14:paraId="1828A970" w14:textId="67B7E761" w:rsidR="00275A73" w:rsidRPr="00275A73" w:rsidRDefault="00275A73" w:rsidP="00A9649E">
      <w:pPr>
        <w:pStyle w:val="ListParagraph"/>
        <w:numPr>
          <w:ilvl w:val="0"/>
          <w:numId w:val="15"/>
        </w:numPr>
        <w:jc w:val="both"/>
        <w:rPr>
          <w:rFonts w:eastAsia="Calibri" w:cs="Times New Roman"/>
          <w:sz w:val="22"/>
          <w:szCs w:val="22"/>
          <w:lang w:val="en-US" w:eastAsia="en-US"/>
        </w:rPr>
      </w:pPr>
      <w:r w:rsidRPr="00275A73">
        <w:rPr>
          <w:rFonts w:eastAsia="Calibri" w:cs="Times New Roman"/>
          <w:sz w:val="22"/>
          <w:szCs w:val="22"/>
          <w:lang w:val="en-US" w:eastAsia="en-US"/>
        </w:rPr>
        <w:t>Attacks on schools and hospitals</w:t>
      </w:r>
    </w:p>
    <w:p w14:paraId="059D45A5" w14:textId="77777777" w:rsidR="00275A73" w:rsidRPr="00275A73" w:rsidRDefault="00275A73" w:rsidP="00A9649E">
      <w:pPr>
        <w:pStyle w:val="ListParagraph"/>
        <w:numPr>
          <w:ilvl w:val="0"/>
          <w:numId w:val="15"/>
        </w:numPr>
        <w:jc w:val="both"/>
        <w:rPr>
          <w:rFonts w:eastAsia="Calibri" w:cs="Times New Roman"/>
          <w:sz w:val="22"/>
          <w:szCs w:val="22"/>
          <w:lang w:val="en-US" w:eastAsia="en-US"/>
        </w:rPr>
      </w:pPr>
      <w:r w:rsidRPr="00275A73">
        <w:rPr>
          <w:rFonts w:eastAsia="Calibri" w:cs="Times New Roman"/>
          <w:sz w:val="22"/>
          <w:szCs w:val="22"/>
          <w:lang w:val="en-US" w:eastAsia="en-US"/>
        </w:rPr>
        <w:t>Abduction</w:t>
      </w:r>
      <w:r>
        <w:rPr>
          <w:rFonts w:eastAsia="Calibri" w:cs="Times New Roman"/>
          <w:sz w:val="22"/>
          <w:szCs w:val="22"/>
          <w:lang w:val="en-US" w:eastAsia="en-US"/>
        </w:rPr>
        <w:t xml:space="preserve"> of children</w:t>
      </w:r>
    </w:p>
    <w:p w14:paraId="15345439" w14:textId="7620129D" w:rsidR="00275A73" w:rsidRPr="00275A73" w:rsidRDefault="00275A73" w:rsidP="00A9649E">
      <w:pPr>
        <w:pStyle w:val="ListParagraph"/>
        <w:numPr>
          <w:ilvl w:val="0"/>
          <w:numId w:val="15"/>
        </w:numPr>
        <w:jc w:val="both"/>
        <w:rPr>
          <w:rFonts w:eastAsia="Calibri" w:cs="Times New Roman"/>
          <w:sz w:val="22"/>
          <w:szCs w:val="22"/>
          <w:lang w:val="en-US" w:eastAsia="en-US"/>
        </w:rPr>
      </w:pPr>
      <w:r w:rsidRPr="00275A73">
        <w:rPr>
          <w:rFonts w:eastAsia="Calibri" w:cs="Times New Roman"/>
          <w:sz w:val="22"/>
          <w:szCs w:val="22"/>
          <w:lang w:val="en-US" w:eastAsia="en-US"/>
        </w:rPr>
        <w:t>Denial of humanitarian access</w:t>
      </w:r>
    </w:p>
    <w:p w14:paraId="5363B013" w14:textId="5963BE68" w:rsidR="003F6804" w:rsidRDefault="00275A73" w:rsidP="003F6804">
      <w:pPr>
        <w:jc w:val="both"/>
        <w:rPr>
          <w:rFonts w:eastAsia="Calibri" w:cs="Times New Roman"/>
          <w:sz w:val="22"/>
          <w:szCs w:val="22"/>
          <w:lang w:val="en-US" w:eastAsia="en-US"/>
        </w:rPr>
      </w:pPr>
      <w:r>
        <w:rPr>
          <w:rFonts w:eastAsia="Calibri" w:cs="Times New Roman"/>
          <w:sz w:val="22"/>
          <w:szCs w:val="22"/>
          <w:lang w:val="en-US" w:eastAsia="en-US"/>
        </w:rPr>
        <w:t>The MRM is implemented in countries that have parties to conflict listed in the annexes of the Secretary-General’s annual reports on Children and Armed Conflict. Armed parties can be added to these annexes if they commit any of the four first violations</w:t>
      </w:r>
      <w:r w:rsidR="003D3537">
        <w:rPr>
          <w:rFonts w:eastAsia="Calibri" w:cs="Times New Roman"/>
          <w:sz w:val="22"/>
          <w:szCs w:val="22"/>
          <w:lang w:val="en-US" w:eastAsia="en-US"/>
        </w:rPr>
        <w:t xml:space="preserve"> (so-called “trigger violations”)</w:t>
      </w:r>
      <w:r>
        <w:rPr>
          <w:rFonts w:eastAsia="Calibri" w:cs="Times New Roman"/>
          <w:sz w:val="22"/>
          <w:szCs w:val="22"/>
          <w:lang w:val="en-US" w:eastAsia="en-US"/>
        </w:rPr>
        <w:t xml:space="preserve">. </w:t>
      </w:r>
      <w:r w:rsidR="003D3537">
        <w:rPr>
          <w:rFonts w:eastAsia="Calibri" w:cs="Times New Roman"/>
          <w:sz w:val="22"/>
          <w:szCs w:val="22"/>
          <w:lang w:val="en-US" w:eastAsia="en-US"/>
        </w:rPr>
        <w:t>Military use of schools is not a “trigger violation”, but the Security Council has requested the UN to enhance monitoring of such practices in the framework of the MRM</w:t>
      </w:r>
      <w:r w:rsidR="00FE3D27">
        <w:rPr>
          <w:rStyle w:val="FootnoteReference"/>
          <w:rFonts w:eastAsia="Calibri" w:cs="Times New Roman"/>
          <w:sz w:val="22"/>
          <w:szCs w:val="22"/>
          <w:lang w:val="en-US" w:eastAsia="en-US"/>
        </w:rPr>
        <w:footnoteReference w:id="8"/>
      </w:r>
      <w:r w:rsidR="003D3537">
        <w:rPr>
          <w:rFonts w:eastAsia="Calibri" w:cs="Times New Roman"/>
          <w:sz w:val="22"/>
          <w:szCs w:val="22"/>
          <w:lang w:val="en-US" w:eastAsia="en-US"/>
        </w:rPr>
        <w:t xml:space="preserve">. The issue of military use of schools can be addressed </w:t>
      </w:r>
      <w:r w:rsidR="003F6804" w:rsidRPr="001A3367">
        <w:rPr>
          <w:rFonts w:eastAsia="Calibri" w:cs="Times New Roman"/>
          <w:sz w:val="22"/>
          <w:szCs w:val="22"/>
          <w:lang w:val="en-US" w:eastAsia="en-US"/>
        </w:rPr>
        <w:t xml:space="preserve">through the </w:t>
      </w:r>
      <w:r w:rsidR="003D3537">
        <w:rPr>
          <w:rFonts w:eastAsia="Calibri" w:cs="Times New Roman"/>
          <w:sz w:val="22"/>
          <w:szCs w:val="22"/>
          <w:lang w:val="en-US" w:eastAsia="en-US"/>
        </w:rPr>
        <w:t>lens of</w:t>
      </w:r>
      <w:r w:rsidR="003F6804">
        <w:rPr>
          <w:rFonts w:eastAsia="Calibri" w:cs="Times New Roman"/>
          <w:sz w:val="22"/>
          <w:szCs w:val="22"/>
          <w:lang w:val="en-US" w:eastAsia="en-US"/>
        </w:rPr>
        <w:t xml:space="preserve"> </w:t>
      </w:r>
      <w:r w:rsidR="003F6804" w:rsidRPr="001A3367">
        <w:rPr>
          <w:rFonts w:eastAsia="Calibri" w:cs="Times New Roman"/>
          <w:sz w:val="22"/>
          <w:szCs w:val="22"/>
          <w:lang w:val="en-US" w:eastAsia="en-US"/>
        </w:rPr>
        <w:t>attacks on schools</w:t>
      </w:r>
      <w:r w:rsidR="003D3537">
        <w:rPr>
          <w:rFonts w:eastAsia="Calibri" w:cs="Times New Roman"/>
          <w:sz w:val="22"/>
          <w:szCs w:val="22"/>
          <w:lang w:val="en-US" w:eastAsia="en-US"/>
        </w:rPr>
        <w:t xml:space="preserve"> and it can also be </w:t>
      </w:r>
      <w:r w:rsidR="003F6804" w:rsidRPr="00FE3D27">
        <w:rPr>
          <w:rFonts w:eastAsia="Calibri" w:cs="Times New Roman"/>
          <w:b/>
          <w:sz w:val="22"/>
          <w:szCs w:val="22"/>
          <w:lang w:val="en-US" w:eastAsia="en-US"/>
        </w:rPr>
        <w:t>mainstreamed</w:t>
      </w:r>
      <w:r w:rsidR="003F6804">
        <w:rPr>
          <w:rFonts w:eastAsia="Calibri" w:cs="Times New Roman"/>
          <w:sz w:val="22"/>
          <w:szCs w:val="22"/>
          <w:lang w:val="en-US" w:eastAsia="en-US"/>
        </w:rPr>
        <w:t xml:space="preserve"> in discussions and monitoring </w:t>
      </w:r>
      <w:r>
        <w:rPr>
          <w:rFonts w:eastAsia="Calibri" w:cs="Times New Roman"/>
          <w:sz w:val="22"/>
          <w:szCs w:val="22"/>
          <w:lang w:val="en-US" w:eastAsia="en-US"/>
        </w:rPr>
        <w:t>activities related to</w:t>
      </w:r>
      <w:r w:rsidR="003F6804">
        <w:rPr>
          <w:rFonts w:eastAsia="Calibri" w:cs="Times New Roman"/>
          <w:sz w:val="22"/>
          <w:szCs w:val="22"/>
          <w:lang w:val="en-US" w:eastAsia="en-US"/>
        </w:rPr>
        <w:t xml:space="preserve"> child recruitment and use, </w:t>
      </w:r>
      <w:r w:rsidR="003D3537">
        <w:rPr>
          <w:rFonts w:eastAsia="Calibri" w:cs="Times New Roman"/>
          <w:sz w:val="22"/>
          <w:szCs w:val="22"/>
          <w:lang w:val="en-US" w:eastAsia="en-US"/>
        </w:rPr>
        <w:t xml:space="preserve">killing and maiming, </w:t>
      </w:r>
      <w:r w:rsidR="003F6804">
        <w:rPr>
          <w:rFonts w:eastAsia="Calibri" w:cs="Times New Roman"/>
          <w:sz w:val="22"/>
          <w:szCs w:val="22"/>
          <w:lang w:val="en-US" w:eastAsia="en-US"/>
        </w:rPr>
        <w:t>abduction and sexual violence</w:t>
      </w:r>
      <w:r>
        <w:rPr>
          <w:rFonts w:eastAsia="Calibri" w:cs="Times New Roman"/>
          <w:sz w:val="22"/>
          <w:szCs w:val="22"/>
          <w:lang w:val="en-US" w:eastAsia="en-US"/>
        </w:rPr>
        <w:t xml:space="preserve">, given that military use of schools increases the risk </w:t>
      </w:r>
      <w:r w:rsidR="003D3537">
        <w:rPr>
          <w:rFonts w:eastAsia="Calibri" w:cs="Times New Roman"/>
          <w:sz w:val="22"/>
          <w:szCs w:val="22"/>
          <w:lang w:val="en-US" w:eastAsia="en-US"/>
        </w:rPr>
        <w:t>that these violations occur</w:t>
      </w:r>
      <w:r w:rsidR="003F6804">
        <w:rPr>
          <w:rFonts w:eastAsia="Calibri" w:cs="Times New Roman"/>
          <w:sz w:val="22"/>
          <w:szCs w:val="22"/>
          <w:lang w:val="en-US" w:eastAsia="en-US"/>
        </w:rPr>
        <w:t xml:space="preserve">. </w:t>
      </w:r>
      <w:r w:rsidR="003F6804" w:rsidRPr="003F6804">
        <w:rPr>
          <w:rFonts w:eastAsia="Calibri" w:cs="Times New Roman"/>
          <w:sz w:val="22"/>
          <w:szCs w:val="22"/>
          <w:lang w:val="en-US" w:eastAsia="en-US"/>
        </w:rPr>
        <w:t>Alongside action plans on child recruitment, sexual violence and attacks on schools and hospitals, which can help frame dialogues with non-state actors, the S</w:t>
      </w:r>
      <w:r w:rsidR="003F6804">
        <w:rPr>
          <w:rFonts w:eastAsia="Calibri" w:cs="Times New Roman"/>
          <w:sz w:val="22"/>
          <w:szCs w:val="22"/>
          <w:lang w:val="en-US" w:eastAsia="en-US"/>
        </w:rPr>
        <w:t xml:space="preserve">pecial </w:t>
      </w:r>
      <w:r w:rsidR="003F6804" w:rsidRPr="003F6804">
        <w:rPr>
          <w:rFonts w:eastAsia="Calibri" w:cs="Times New Roman"/>
          <w:sz w:val="22"/>
          <w:szCs w:val="22"/>
          <w:lang w:val="en-US" w:eastAsia="en-US"/>
        </w:rPr>
        <w:t>R</w:t>
      </w:r>
      <w:r w:rsidR="003F6804">
        <w:rPr>
          <w:rFonts w:eastAsia="Calibri" w:cs="Times New Roman"/>
          <w:sz w:val="22"/>
          <w:szCs w:val="22"/>
          <w:lang w:val="en-US" w:eastAsia="en-US"/>
        </w:rPr>
        <w:t xml:space="preserve">epresentative of the </w:t>
      </w:r>
      <w:r w:rsidR="003F6804" w:rsidRPr="003F6804">
        <w:rPr>
          <w:rFonts w:eastAsia="Calibri" w:cs="Times New Roman"/>
          <w:sz w:val="22"/>
          <w:szCs w:val="22"/>
          <w:lang w:val="en-US" w:eastAsia="en-US"/>
        </w:rPr>
        <w:t>S</w:t>
      </w:r>
      <w:r w:rsidR="003F6804">
        <w:rPr>
          <w:rFonts w:eastAsia="Calibri" w:cs="Times New Roman"/>
          <w:sz w:val="22"/>
          <w:szCs w:val="22"/>
          <w:lang w:val="en-US" w:eastAsia="en-US"/>
        </w:rPr>
        <w:t>ecretary-</w:t>
      </w:r>
      <w:r w:rsidR="003F6804" w:rsidRPr="003F6804">
        <w:rPr>
          <w:rFonts w:eastAsia="Calibri" w:cs="Times New Roman"/>
          <w:sz w:val="22"/>
          <w:szCs w:val="22"/>
          <w:lang w:val="en-US" w:eastAsia="en-US"/>
        </w:rPr>
        <w:t>G</w:t>
      </w:r>
      <w:r w:rsidR="003F6804">
        <w:rPr>
          <w:rFonts w:eastAsia="Calibri" w:cs="Times New Roman"/>
          <w:sz w:val="22"/>
          <w:szCs w:val="22"/>
          <w:lang w:val="en-US" w:eastAsia="en-US"/>
        </w:rPr>
        <w:t>eneral for Children and Armed Conflict</w:t>
      </w:r>
      <w:r w:rsidR="003F6804" w:rsidRPr="003F6804">
        <w:rPr>
          <w:rFonts w:eastAsia="Calibri" w:cs="Times New Roman"/>
          <w:sz w:val="22"/>
          <w:szCs w:val="22"/>
          <w:lang w:val="en-US" w:eastAsia="en-US"/>
        </w:rPr>
        <w:t xml:space="preserve"> has developed an </w:t>
      </w:r>
      <w:r w:rsidR="003F6804" w:rsidRPr="00FE3D27">
        <w:rPr>
          <w:rFonts w:eastAsia="Calibri" w:cs="Times New Roman"/>
          <w:b/>
          <w:sz w:val="22"/>
          <w:szCs w:val="22"/>
          <w:lang w:val="en-US" w:eastAsia="en-US"/>
        </w:rPr>
        <w:t>operational strategy on the prevention of military use of schools</w:t>
      </w:r>
      <w:r w:rsidR="003F6804" w:rsidRPr="003F6804">
        <w:rPr>
          <w:rFonts w:eastAsia="Calibri" w:cs="Times New Roman"/>
          <w:sz w:val="22"/>
          <w:szCs w:val="22"/>
          <w:lang w:val="en-US" w:eastAsia="en-US"/>
        </w:rPr>
        <w:t>,</w:t>
      </w:r>
      <w:r w:rsidR="003F6804">
        <w:rPr>
          <w:rFonts w:eastAsia="Calibri" w:cs="Times New Roman"/>
          <w:sz w:val="22"/>
          <w:szCs w:val="22"/>
          <w:lang w:val="en-US" w:eastAsia="en-US"/>
        </w:rPr>
        <w:t xml:space="preserve"> which refers to and complements the Guidelines</w:t>
      </w:r>
      <w:r w:rsidR="009443B7">
        <w:rPr>
          <w:rStyle w:val="FootnoteReference"/>
          <w:rFonts w:eastAsia="Calibri" w:cs="Times New Roman"/>
          <w:sz w:val="22"/>
          <w:szCs w:val="22"/>
          <w:lang w:val="en-US" w:eastAsia="en-US"/>
        </w:rPr>
        <w:footnoteReference w:id="9"/>
      </w:r>
      <w:r w:rsidR="003F6804">
        <w:rPr>
          <w:rFonts w:eastAsia="Calibri" w:cs="Times New Roman"/>
          <w:sz w:val="22"/>
          <w:szCs w:val="22"/>
          <w:lang w:eastAsia="en-US"/>
        </w:rPr>
        <w:t xml:space="preserve">. </w:t>
      </w:r>
      <w:r w:rsidR="003F6804" w:rsidRPr="003F6804">
        <w:rPr>
          <w:rFonts w:eastAsia="Calibri" w:cs="Times New Roman"/>
          <w:sz w:val="22"/>
          <w:szCs w:val="22"/>
          <w:lang w:val="en-US" w:eastAsia="en-US"/>
        </w:rPr>
        <w:t xml:space="preserve"> </w:t>
      </w:r>
    </w:p>
    <w:p w14:paraId="30887CB7" w14:textId="64C38DEF" w:rsidR="003D3537" w:rsidRDefault="009443B7" w:rsidP="003F6804">
      <w:pPr>
        <w:jc w:val="both"/>
        <w:rPr>
          <w:rFonts w:eastAsia="Calibri" w:cs="Times New Roman"/>
          <w:sz w:val="22"/>
          <w:szCs w:val="22"/>
          <w:lang w:val="en-US" w:eastAsia="en-US"/>
        </w:rPr>
      </w:pPr>
      <w:r>
        <w:rPr>
          <w:rFonts w:eastAsia="Calibri" w:cs="Times New Roman"/>
          <w:sz w:val="22"/>
          <w:szCs w:val="22"/>
          <w:lang w:val="en-US" w:eastAsia="en-US"/>
        </w:rPr>
        <w:t>Of the countries prioritized by GCPEA for advocacy around the Guidelines, the following have an MRM:</w:t>
      </w:r>
    </w:p>
    <w:p w14:paraId="2C41A274" w14:textId="6941CDEC" w:rsidR="0031010D" w:rsidRPr="009443B7" w:rsidRDefault="009443B7" w:rsidP="00A9649E">
      <w:pPr>
        <w:pStyle w:val="ListParagraph"/>
        <w:numPr>
          <w:ilvl w:val="0"/>
          <w:numId w:val="17"/>
        </w:numPr>
        <w:jc w:val="both"/>
        <w:rPr>
          <w:rFonts w:eastAsia="Calibri" w:cs="Times New Roman"/>
          <w:sz w:val="22"/>
          <w:szCs w:val="22"/>
          <w:lang w:val="en-US" w:eastAsia="en-US"/>
        </w:rPr>
      </w:pPr>
      <w:r w:rsidRPr="009443B7">
        <w:rPr>
          <w:rFonts w:eastAsia="Calibri" w:cs="Times New Roman"/>
          <w:sz w:val="22"/>
          <w:szCs w:val="22"/>
          <w:lang w:val="en-US" w:eastAsia="en-US"/>
        </w:rPr>
        <w:t>Afghanistan</w:t>
      </w:r>
    </w:p>
    <w:p w14:paraId="3D290216" w14:textId="51FBB03E" w:rsidR="009443B7" w:rsidRPr="009443B7" w:rsidRDefault="009443B7" w:rsidP="00A9649E">
      <w:pPr>
        <w:pStyle w:val="ListParagraph"/>
        <w:numPr>
          <w:ilvl w:val="0"/>
          <w:numId w:val="17"/>
        </w:numPr>
        <w:jc w:val="both"/>
        <w:rPr>
          <w:rFonts w:eastAsia="Calibri" w:cs="Times New Roman"/>
          <w:sz w:val="22"/>
          <w:szCs w:val="22"/>
          <w:lang w:val="en-US" w:eastAsia="en-US"/>
        </w:rPr>
      </w:pPr>
      <w:r w:rsidRPr="009443B7">
        <w:rPr>
          <w:rFonts w:eastAsia="Calibri" w:cs="Times New Roman"/>
          <w:sz w:val="22"/>
          <w:szCs w:val="22"/>
          <w:lang w:val="en-US" w:eastAsia="en-US"/>
        </w:rPr>
        <w:t>Colombia</w:t>
      </w:r>
    </w:p>
    <w:p w14:paraId="48DF014F" w14:textId="341ED229" w:rsidR="009443B7" w:rsidRPr="009443B7" w:rsidRDefault="009443B7" w:rsidP="00A9649E">
      <w:pPr>
        <w:pStyle w:val="ListParagraph"/>
        <w:numPr>
          <w:ilvl w:val="0"/>
          <w:numId w:val="17"/>
        </w:numPr>
        <w:jc w:val="both"/>
        <w:rPr>
          <w:rFonts w:eastAsia="Calibri" w:cs="Times New Roman"/>
          <w:sz w:val="22"/>
          <w:szCs w:val="22"/>
          <w:lang w:val="fr-CH" w:eastAsia="en-US"/>
        </w:rPr>
      </w:pPr>
      <w:r w:rsidRPr="009443B7">
        <w:rPr>
          <w:rFonts w:eastAsia="Calibri" w:cs="Times New Roman"/>
          <w:sz w:val="22"/>
          <w:szCs w:val="22"/>
          <w:lang w:val="fr-CH" w:eastAsia="en-US"/>
        </w:rPr>
        <w:t>CAR</w:t>
      </w:r>
    </w:p>
    <w:p w14:paraId="23A961EF" w14:textId="1C063CBC" w:rsidR="009443B7" w:rsidRPr="009443B7" w:rsidRDefault="009443B7" w:rsidP="00A9649E">
      <w:pPr>
        <w:pStyle w:val="ListParagraph"/>
        <w:numPr>
          <w:ilvl w:val="0"/>
          <w:numId w:val="17"/>
        </w:numPr>
        <w:jc w:val="both"/>
        <w:rPr>
          <w:rFonts w:eastAsia="Calibri" w:cs="Times New Roman"/>
          <w:sz w:val="22"/>
          <w:szCs w:val="22"/>
          <w:lang w:val="fr-CH" w:eastAsia="en-US"/>
        </w:rPr>
      </w:pPr>
      <w:r w:rsidRPr="009443B7">
        <w:rPr>
          <w:rFonts w:eastAsia="Calibri" w:cs="Times New Roman"/>
          <w:sz w:val="22"/>
          <w:szCs w:val="22"/>
          <w:lang w:val="fr-CH" w:eastAsia="en-US"/>
        </w:rPr>
        <w:t>DRC</w:t>
      </w:r>
    </w:p>
    <w:p w14:paraId="1D713B8C" w14:textId="68B36395" w:rsidR="009443B7" w:rsidRPr="009443B7" w:rsidRDefault="009443B7" w:rsidP="00A9649E">
      <w:pPr>
        <w:pStyle w:val="ListParagraph"/>
        <w:numPr>
          <w:ilvl w:val="0"/>
          <w:numId w:val="17"/>
        </w:numPr>
        <w:jc w:val="both"/>
        <w:rPr>
          <w:rFonts w:eastAsia="Calibri" w:cs="Times New Roman"/>
          <w:sz w:val="22"/>
          <w:szCs w:val="22"/>
          <w:lang w:val="fr-CH" w:eastAsia="en-US"/>
        </w:rPr>
      </w:pPr>
      <w:r w:rsidRPr="009443B7">
        <w:rPr>
          <w:rFonts w:eastAsia="Calibri" w:cs="Times New Roman"/>
          <w:sz w:val="22"/>
          <w:szCs w:val="22"/>
          <w:lang w:val="fr-CH" w:eastAsia="en-US"/>
        </w:rPr>
        <w:t>Iraq</w:t>
      </w:r>
    </w:p>
    <w:p w14:paraId="3654A7BA" w14:textId="36205B85" w:rsidR="009443B7" w:rsidRPr="009443B7" w:rsidRDefault="009443B7" w:rsidP="00A9649E">
      <w:pPr>
        <w:pStyle w:val="ListParagraph"/>
        <w:numPr>
          <w:ilvl w:val="0"/>
          <w:numId w:val="17"/>
        </w:numPr>
        <w:jc w:val="both"/>
        <w:rPr>
          <w:rFonts w:eastAsia="Calibri" w:cs="Times New Roman"/>
          <w:sz w:val="22"/>
          <w:szCs w:val="22"/>
          <w:lang w:val="fr-CH" w:eastAsia="en-US"/>
        </w:rPr>
      </w:pPr>
      <w:r w:rsidRPr="009443B7">
        <w:rPr>
          <w:rFonts w:eastAsia="Calibri" w:cs="Times New Roman"/>
          <w:sz w:val="22"/>
          <w:szCs w:val="22"/>
          <w:lang w:val="fr-CH" w:eastAsia="en-US"/>
        </w:rPr>
        <w:t>Mali</w:t>
      </w:r>
    </w:p>
    <w:p w14:paraId="70945209" w14:textId="051C0BE0" w:rsidR="009443B7" w:rsidRPr="009443B7" w:rsidRDefault="009443B7" w:rsidP="00A9649E">
      <w:pPr>
        <w:pStyle w:val="ListParagraph"/>
        <w:numPr>
          <w:ilvl w:val="0"/>
          <w:numId w:val="17"/>
        </w:numPr>
        <w:jc w:val="both"/>
        <w:rPr>
          <w:rFonts w:eastAsia="Calibri" w:cs="Times New Roman"/>
          <w:sz w:val="22"/>
          <w:szCs w:val="22"/>
          <w:lang w:val="fr-CH" w:eastAsia="en-US"/>
        </w:rPr>
      </w:pPr>
      <w:r w:rsidRPr="009443B7">
        <w:rPr>
          <w:rFonts w:eastAsia="Calibri" w:cs="Times New Roman"/>
          <w:sz w:val="22"/>
          <w:szCs w:val="22"/>
          <w:lang w:val="fr-CH" w:eastAsia="en-US"/>
        </w:rPr>
        <w:t>Nigeria</w:t>
      </w:r>
    </w:p>
    <w:p w14:paraId="2000335E" w14:textId="42BF7052" w:rsidR="009443B7" w:rsidRPr="009443B7" w:rsidRDefault="009443B7" w:rsidP="00A9649E">
      <w:pPr>
        <w:pStyle w:val="ListParagraph"/>
        <w:numPr>
          <w:ilvl w:val="0"/>
          <w:numId w:val="17"/>
        </w:numPr>
        <w:jc w:val="both"/>
        <w:rPr>
          <w:rFonts w:eastAsia="Calibri" w:cs="Times New Roman"/>
          <w:sz w:val="22"/>
          <w:szCs w:val="22"/>
          <w:lang w:val="fr-CH" w:eastAsia="en-US"/>
        </w:rPr>
      </w:pPr>
      <w:r w:rsidRPr="009443B7">
        <w:rPr>
          <w:rFonts w:eastAsia="Calibri" w:cs="Times New Roman"/>
          <w:sz w:val="22"/>
          <w:szCs w:val="22"/>
          <w:lang w:val="fr-CH" w:eastAsia="en-US"/>
        </w:rPr>
        <w:t>Philippines</w:t>
      </w:r>
    </w:p>
    <w:p w14:paraId="4500433D" w14:textId="1263C76C" w:rsidR="009443B7" w:rsidRPr="009443B7" w:rsidRDefault="009443B7" w:rsidP="00A9649E">
      <w:pPr>
        <w:pStyle w:val="ListParagraph"/>
        <w:numPr>
          <w:ilvl w:val="0"/>
          <w:numId w:val="17"/>
        </w:numPr>
        <w:jc w:val="both"/>
        <w:rPr>
          <w:rFonts w:eastAsia="Calibri" w:cs="Times New Roman"/>
          <w:sz w:val="22"/>
          <w:szCs w:val="22"/>
          <w:lang w:val="fr-CH" w:eastAsia="en-US"/>
        </w:rPr>
      </w:pPr>
      <w:proofErr w:type="spellStart"/>
      <w:r w:rsidRPr="009443B7">
        <w:rPr>
          <w:rFonts w:eastAsia="Calibri" w:cs="Times New Roman"/>
          <w:sz w:val="22"/>
          <w:szCs w:val="22"/>
          <w:lang w:val="fr-CH" w:eastAsia="en-US"/>
        </w:rPr>
        <w:t>Burma</w:t>
      </w:r>
      <w:proofErr w:type="spellEnd"/>
      <w:r w:rsidRPr="009443B7">
        <w:rPr>
          <w:rFonts w:eastAsia="Calibri" w:cs="Times New Roman"/>
          <w:sz w:val="22"/>
          <w:szCs w:val="22"/>
          <w:lang w:val="fr-CH" w:eastAsia="en-US"/>
        </w:rPr>
        <w:t>/Myanmar</w:t>
      </w:r>
    </w:p>
    <w:p w14:paraId="18E6465D" w14:textId="3395E4CD" w:rsidR="009443B7" w:rsidRPr="009443B7" w:rsidRDefault="009443B7" w:rsidP="00A9649E">
      <w:pPr>
        <w:pStyle w:val="ListParagraph"/>
        <w:numPr>
          <w:ilvl w:val="0"/>
          <w:numId w:val="17"/>
        </w:numPr>
        <w:jc w:val="both"/>
        <w:rPr>
          <w:rFonts w:eastAsia="Calibri" w:cs="Times New Roman"/>
          <w:sz w:val="22"/>
          <w:szCs w:val="22"/>
          <w:lang w:val="en-US" w:eastAsia="en-US"/>
        </w:rPr>
      </w:pPr>
      <w:r w:rsidRPr="009443B7">
        <w:rPr>
          <w:rFonts w:eastAsia="Calibri" w:cs="Times New Roman"/>
          <w:sz w:val="22"/>
          <w:szCs w:val="22"/>
          <w:lang w:val="en-US" w:eastAsia="en-US"/>
        </w:rPr>
        <w:t>Somalia</w:t>
      </w:r>
    </w:p>
    <w:p w14:paraId="5526263D" w14:textId="3718A2AF" w:rsidR="009443B7" w:rsidRPr="009443B7" w:rsidRDefault="009443B7" w:rsidP="00A9649E">
      <w:pPr>
        <w:pStyle w:val="ListParagraph"/>
        <w:numPr>
          <w:ilvl w:val="0"/>
          <w:numId w:val="17"/>
        </w:numPr>
        <w:jc w:val="both"/>
        <w:rPr>
          <w:rFonts w:eastAsia="Calibri" w:cs="Times New Roman"/>
          <w:sz w:val="22"/>
          <w:szCs w:val="22"/>
          <w:lang w:val="en-US" w:eastAsia="en-US"/>
        </w:rPr>
      </w:pPr>
      <w:r w:rsidRPr="009443B7">
        <w:rPr>
          <w:rFonts w:eastAsia="Calibri" w:cs="Times New Roman"/>
          <w:sz w:val="22"/>
          <w:szCs w:val="22"/>
          <w:lang w:val="en-US" w:eastAsia="en-US"/>
        </w:rPr>
        <w:t>South Sudan</w:t>
      </w:r>
    </w:p>
    <w:p w14:paraId="187762DE" w14:textId="14AA51D7" w:rsidR="009443B7" w:rsidRPr="009443B7" w:rsidRDefault="009443B7" w:rsidP="00A9649E">
      <w:pPr>
        <w:pStyle w:val="ListParagraph"/>
        <w:numPr>
          <w:ilvl w:val="0"/>
          <w:numId w:val="17"/>
        </w:numPr>
        <w:jc w:val="both"/>
        <w:rPr>
          <w:rFonts w:eastAsia="Calibri" w:cs="Times New Roman"/>
          <w:sz w:val="22"/>
          <w:szCs w:val="22"/>
          <w:lang w:val="en-US" w:eastAsia="en-US"/>
        </w:rPr>
      </w:pPr>
      <w:r w:rsidRPr="009443B7">
        <w:rPr>
          <w:rFonts w:eastAsia="Calibri" w:cs="Times New Roman"/>
          <w:sz w:val="22"/>
          <w:szCs w:val="22"/>
          <w:lang w:val="en-US" w:eastAsia="en-US"/>
        </w:rPr>
        <w:t>Sudan</w:t>
      </w:r>
    </w:p>
    <w:p w14:paraId="4725EAB7" w14:textId="0B086760" w:rsidR="009443B7" w:rsidRPr="009443B7" w:rsidRDefault="009443B7" w:rsidP="00A9649E">
      <w:pPr>
        <w:pStyle w:val="ListParagraph"/>
        <w:numPr>
          <w:ilvl w:val="0"/>
          <w:numId w:val="17"/>
        </w:numPr>
        <w:jc w:val="both"/>
        <w:rPr>
          <w:rFonts w:eastAsia="Calibri" w:cs="Times New Roman"/>
          <w:sz w:val="22"/>
          <w:szCs w:val="22"/>
          <w:lang w:val="en-US" w:eastAsia="en-US"/>
        </w:rPr>
      </w:pPr>
      <w:r w:rsidRPr="009443B7">
        <w:rPr>
          <w:rFonts w:eastAsia="Calibri" w:cs="Times New Roman"/>
          <w:sz w:val="22"/>
          <w:szCs w:val="22"/>
          <w:lang w:val="en-US" w:eastAsia="en-US"/>
        </w:rPr>
        <w:t>Syria</w:t>
      </w:r>
    </w:p>
    <w:p w14:paraId="65125309" w14:textId="2F7D2F82" w:rsidR="009443B7" w:rsidRPr="009443B7" w:rsidRDefault="009443B7" w:rsidP="00A9649E">
      <w:pPr>
        <w:pStyle w:val="ListParagraph"/>
        <w:numPr>
          <w:ilvl w:val="0"/>
          <w:numId w:val="17"/>
        </w:numPr>
        <w:jc w:val="both"/>
        <w:rPr>
          <w:rFonts w:eastAsia="Calibri" w:cs="Times New Roman"/>
          <w:sz w:val="22"/>
          <w:szCs w:val="22"/>
          <w:lang w:val="en-US" w:eastAsia="en-US"/>
        </w:rPr>
      </w:pPr>
      <w:r w:rsidRPr="009443B7">
        <w:rPr>
          <w:rFonts w:eastAsia="Calibri" w:cs="Times New Roman"/>
          <w:sz w:val="22"/>
          <w:szCs w:val="22"/>
          <w:lang w:val="en-US" w:eastAsia="en-US"/>
        </w:rPr>
        <w:t>Yemen</w:t>
      </w:r>
    </w:p>
    <w:p w14:paraId="617A0790" w14:textId="64DCBFB4" w:rsidR="003F6804" w:rsidRPr="009443B7" w:rsidRDefault="003F6804" w:rsidP="009443B7">
      <w:pPr>
        <w:pStyle w:val="CommentText"/>
        <w:spacing w:after="0"/>
        <w:jc w:val="both"/>
        <w:rPr>
          <w:b/>
          <w:sz w:val="22"/>
          <w:szCs w:val="22"/>
        </w:rPr>
      </w:pPr>
      <w:r w:rsidRPr="009443B7">
        <w:rPr>
          <w:b/>
          <w:sz w:val="22"/>
          <w:szCs w:val="22"/>
        </w:rPr>
        <w:t xml:space="preserve">Targeted objectives </w:t>
      </w:r>
      <w:r w:rsidR="00FE3D27">
        <w:rPr>
          <w:b/>
          <w:sz w:val="22"/>
          <w:szCs w:val="22"/>
        </w:rPr>
        <w:t>in the outreach to armed groups:</w:t>
      </w:r>
    </w:p>
    <w:p w14:paraId="21810A89" w14:textId="5070460A" w:rsidR="003F6804" w:rsidRPr="009443B7" w:rsidRDefault="008D1A1F" w:rsidP="00A9649E">
      <w:pPr>
        <w:pStyle w:val="CommentText"/>
        <w:numPr>
          <w:ilvl w:val="1"/>
          <w:numId w:val="18"/>
        </w:numPr>
        <w:spacing w:after="0"/>
        <w:ind w:left="709"/>
        <w:jc w:val="both"/>
        <w:rPr>
          <w:sz w:val="22"/>
          <w:szCs w:val="22"/>
        </w:rPr>
      </w:pPr>
      <w:r>
        <w:rPr>
          <w:sz w:val="22"/>
          <w:szCs w:val="22"/>
        </w:rPr>
        <w:t>MRM C</w:t>
      </w:r>
      <w:r w:rsidR="003F6804" w:rsidRPr="009443B7">
        <w:rPr>
          <w:sz w:val="22"/>
          <w:szCs w:val="22"/>
        </w:rPr>
        <w:t xml:space="preserve">ountry </w:t>
      </w:r>
      <w:r>
        <w:rPr>
          <w:sz w:val="22"/>
          <w:szCs w:val="22"/>
        </w:rPr>
        <w:t>T</w:t>
      </w:r>
      <w:r w:rsidR="003F6804" w:rsidRPr="009443B7">
        <w:rPr>
          <w:sz w:val="22"/>
          <w:szCs w:val="22"/>
        </w:rPr>
        <w:t xml:space="preserve">ask </w:t>
      </w:r>
      <w:r>
        <w:rPr>
          <w:sz w:val="22"/>
          <w:szCs w:val="22"/>
        </w:rPr>
        <w:t>F</w:t>
      </w:r>
      <w:r w:rsidR="003F6804" w:rsidRPr="009443B7">
        <w:rPr>
          <w:sz w:val="22"/>
          <w:szCs w:val="22"/>
        </w:rPr>
        <w:t xml:space="preserve">orces </w:t>
      </w:r>
      <w:r>
        <w:rPr>
          <w:sz w:val="22"/>
          <w:szCs w:val="22"/>
        </w:rPr>
        <w:t>mainstream</w:t>
      </w:r>
      <w:r w:rsidR="003F6804" w:rsidRPr="009443B7">
        <w:rPr>
          <w:sz w:val="22"/>
          <w:szCs w:val="22"/>
        </w:rPr>
        <w:t xml:space="preserve"> the Guidelines in their dialogue with </w:t>
      </w:r>
      <w:r w:rsidR="009443B7">
        <w:rPr>
          <w:sz w:val="22"/>
          <w:szCs w:val="22"/>
        </w:rPr>
        <w:t>armed groups</w:t>
      </w:r>
      <w:r>
        <w:rPr>
          <w:sz w:val="22"/>
          <w:szCs w:val="22"/>
        </w:rPr>
        <w:t xml:space="preserve"> on the issues of child recruitment, attacks on schools, sexual violence, killing and maiming</w:t>
      </w:r>
      <w:r w:rsidR="003F6804" w:rsidRPr="009443B7">
        <w:rPr>
          <w:sz w:val="22"/>
          <w:szCs w:val="22"/>
        </w:rPr>
        <w:t>;</w:t>
      </w:r>
    </w:p>
    <w:p w14:paraId="72F2EE20" w14:textId="64E1DAE9" w:rsidR="003F6804" w:rsidRPr="009443B7" w:rsidRDefault="009443B7" w:rsidP="00A9649E">
      <w:pPr>
        <w:pStyle w:val="CommentText"/>
        <w:numPr>
          <w:ilvl w:val="1"/>
          <w:numId w:val="18"/>
        </w:numPr>
        <w:spacing w:after="0"/>
        <w:ind w:left="709"/>
        <w:jc w:val="both"/>
        <w:rPr>
          <w:sz w:val="22"/>
          <w:szCs w:val="22"/>
        </w:rPr>
      </w:pPr>
      <w:r>
        <w:rPr>
          <w:sz w:val="22"/>
          <w:szCs w:val="22"/>
        </w:rPr>
        <w:t>Armed groups</w:t>
      </w:r>
      <w:r w:rsidR="003F6804" w:rsidRPr="009443B7">
        <w:rPr>
          <w:sz w:val="22"/>
          <w:szCs w:val="22"/>
        </w:rPr>
        <w:t xml:space="preserve"> integrate safeguards to prevent and mitigate </w:t>
      </w:r>
      <w:r>
        <w:rPr>
          <w:sz w:val="22"/>
          <w:szCs w:val="22"/>
        </w:rPr>
        <w:t>military use of schools</w:t>
      </w:r>
      <w:r w:rsidR="003F6804" w:rsidRPr="009443B7">
        <w:rPr>
          <w:sz w:val="22"/>
          <w:szCs w:val="22"/>
        </w:rPr>
        <w:t xml:space="preserve"> in relevant internal documents and processes</w:t>
      </w:r>
      <w:r w:rsidR="008D1A1F">
        <w:rPr>
          <w:sz w:val="22"/>
          <w:szCs w:val="22"/>
        </w:rPr>
        <w:t>.</w:t>
      </w:r>
    </w:p>
    <w:p w14:paraId="5C9CBD9C" w14:textId="77777777" w:rsidR="003F6804" w:rsidRDefault="003F6804" w:rsidP="00A20EFB">
      <w:pPr>
        <w:pStyle w:val="Normal1"/>
        <w:spacing w:after="0"/>
        <w:jc w:val="both"/>
        <w:rPr>
          <w:rFonts w:asciiTheme="minorHAnsi" w:hAnsiTheme="minorHAnsi"/>
          <w:sz w:val="22"/>
          <w:szCs w:val="22"/>
        </w:rPr>
      </w:pPr>
    </w:p>
    <w:p w14:paraId="0422FE44" w14:textId="77777777" w:rsidR="003F6804" w:rsidRDefault="003F6804" w:rsidP="00A20EFB">
      <w:pPr>
        <w:pStyle w:val="Normal1"/>
        <w:spacing w:after="0"/>
        <w:jc w:val="both"/>
        <w:rPr>
          <w:rFonts w:asciiTheme="minorHAnsi" w:hAnsiTheme="minorHAnsi"/>
          <w:sz w:val="22"/>
          <w:szCs w:val="22"/>
        </w:rPr>
      </w:pPr>
    </w:p>
    <w:p w14:paraId="4D811C18" w14:textId="77777777" w:rsidR="003F6804" w:rsidRDefault="003F6804" w:rsidP="00A20EFB">
      <w:pPr>
        <w:pStyle w:val="Normal1"/>
        <w:spacing w:after="0"/>
        <w:jc w:val="both"/>
        <w:rPr>
          <w:rFonts w:asciiTheme="minorHAnsi" w:hAnsiTheme="minorHAnsi"/>
          <w:sz w:val="22"/>
          <w:szCs w:val="22"/>
        </w:rPr>
      </w:pPr>
    </w:p>
    <w:p w14:paraId="024E2E46" w14:textId="4FF123CB" w:rsidR="00901356" w:rsidRDefault="003F6804" w:rsidP="00A20EFB">
      <w:pPr>
        <w:pStyle w:val="Heading2"/>
        <w:spacing w:before="0"/>
      </w:pPr>
      <w:bookmarkStart w:id="20" w:name="_Toc412485702"/>
      <w:r>
        <w:lastRenderedPageBreak/>
        <w:t>3.3</w:t>
      </w:r>
      <w:r w:rsidR="00901356">
        <w:t>. Development of country-specific advocacy plans</w:t>
      </w:r>
      <w:bookmarkEnd w:id="20"/>
      <w:r w:rsidR="00AA4CA8">
        <w:t xml:space="preserve"> </w:t>
      </w:r>
    </w:p>
    <w:p w14:paraId="2BE658CE" w14:textId="3E451FA4" w:rsidR="00901356" w:rsidRPr="00FE3D27" w:rsidRDefault="00901356" w:rsidP="00A20EFB">
      <w:pPr>
        <w:spacing w:after="0"/>
        <w:jc w:val="both"/>
        <w:rPr>
          <w:sz w:val="22"/>
          <w:szCs w:val="22"/>
        </w:rPr>
      </w:pPr>
      <w:r w:rsidRPr="00FE3D27">
        <w:rPr>
          <w:sz w:val="22"/>
          <w:szCs w:val="22"/>
        </w:rPr>
        <w:t>Country-specific advocacy plans will need to be</w:t>
      </w:r>
      <w:r w:rsidRPr="00FE3D27">
        <w:rPr>
          <w:color w:val="FF0000"/>
          <w:sz w:val="22"/>
          <w:szCs w:val="22"/>
        </w:rPr>
        <w:t xml:space="preserve"> </w:t>
      </w:r>
      <w:r w:rsidRPr="00FE3D27">
        <w:rPr>
          <w:sz w:val="22"/>
          <w:szCs w:val="22"/>
        </w:rPr>
        <w:t xml:space="preserve">developed by </w:t>
      </w:r>
      <w:r w:rsidR="0039357B" w:rsidRPr="00FE3D27">
        <w:rPr>
          <w:sz w:val="22"/>
          <w:szCs w:val="22"/>
        </w:rPr>
        <w:t xml:space="preserve">focal points (see Section 5. </w:t>
      </w:r>
      <w:proofErr w:type="gramStart"/>
      <w:r w:rsidR="0039357B" w:rsidRPr="00FE3D27">
        <w:rPr>
          <w:sz w:val="22"/>
          <w:szCs w:val="22"/>
        </w:rPr>
        <w:t xml:space="preserve">Coordination below) </w:t>
      </w:r>
      <w:r w:rsidRPr="00FE3D27">
        <w:rPr>
          <w:sz w:val="22"/>
          <w:szCs w:val="22"/>
        </w:rPr>
        <w:t>in consultation with other GCPEA members in each priority country.</w:t>
      </w:r>
      <w:proofErr w:type="gramEnd"/>
      <w:r w:rsidRPr="00FE3D27">
        <w:rPr>
          <w:sz w:val="22"/>
          <w:szCs w:val="22"/>
        </w:rPr>
        <w:t xml:space="preserve"> Elements to consider when developing these country-specific plans are:</w:t>
      </w:r>
    </w:p>
    <w:p w14:paraId="209E6972" w14:textId="77777777" w:rsidR="00A20EFB" w:rsidRPr="00FE3D27" w:rsidRDefault="00A20EFB" w:rsidP="00A20EFB">
      <w:pPr>
        <w:pStyle w:val="Heading3"/>
        <w:spacing w:before="0"/>
        <w:jc w:val="both"/>
        <w:rPr>
          <w:rFonts w:asciiTheme="minorHAnsi" w:eastAsiaTheme="minorEastAsia" w:hAnsiTheme="minorHAnsi" w:cstheme="minorBidi"/>
          <w:bCs w:val="0"/>
          <w:color w:val="auto"/>
          <w:sz w:val="22"/>
          <w:szCs w:val="22"/>
        </w:rPr>
      </w:pPr>
    </w:p>
    <w:p w14:paraId="48C473FA" w14:textId="546D8E9B" w:rsidR="00901356" w:rsidRPr="00FE3D27" w:rsidRDefault="00901356" w:rsidP="00642C1E">
      <w:pPr>
        <w:spacing w:after="0"/>
        <w:rPr>
          <w:b/>
          <w:sz w:val="22"/>
          <w:szCs w:val="22"/>
        </w:rPr>
      </w:pPr>
      <w:r w:rsidRPr="00FE3D27">
        <w:rPr>
          <w:b/>
          <w:sz w:val="22"/>
          <w:szCs w:val="22"/>
        </w:rPr>
        <w:t xml:space="preserve">Context analysis: </w:t>
      </w:r>
    </w:p>
    <w:p w14:paraId="6CA63DBC" w14:textId="77777777" w:rsidR="00901356" w:rsidRPr="00FE3D27" w:rsidRDefault="00901356" w:rsidP="00A9649E">
      <w:pPr>
        <w:pStyle w:val="ListParagraph"/>
        <w:numPr>
          <w:ilvl w:val="0"/>
          <w:numId w:val="19"/>
        </w:numPr>
        <w:spacing w:after="0"/>
        <w:rPr>
          <w:sz w:val="22"/>
          <w:szCs w:val="22"/>
        </w:rPr>
      </w:pPr>
      <w:r w:rsidRPr="00FE3D27">
        <w:rPr>
          <w:sz w:val="22"/>
          <w:szCs w:val="22"/>
        </w:rPr>
        <w:t xml:space="preserve">Is the country affected by the problem? If so, to what extent (data available)? </w:t>
      </w:r>
    </w:p>
    <w:p w14:paraId="0B6F7ABC" w14:textId="679FAECC" w:rsidR="00901356" w:rsidRPr="00FE3D27" w:rsidRDefault="00901356" w:rsidP="00A9649E">
      <w:pPr>
        <w:pStyle w:val="ListParagraph"/>
        <w:numPr>
          <w:ilvl w:val="0"/>
          <w:numId w:val="19"/>
        </w:numPr>
        <w:spacing w:after="0"/>
        <w:rPr>
          <w:sz w:val="22"/>
          <w:szCs w:val="22"/>
        </w:rPr>
      </w:pPr>
      <w:r w:rsidRPr="00FE3D27">
        <w:rPr>
          <w:sz w:val="22"/>
          <w:szCs w:val="22"/>
        </w:rPr>
        <w:t xml:space="preserve">Are there policies, laws in place relating to military use of schools/universities? If so, are they actually implemented? </w:t>
      </w:r>
    </w:p>
    <w:p w14:paraId="48775EA5" w14:textId="57640C7A" w:rsidR="00901356" w:rsidRPr="00FE3D27" w:rsidRDefault="005E59A1" w:rsidP="00A9649E">
      <w:pPr>
        <w:pStyle w:val="ListParagraph"/>
        <w:numPr>
          <w:ilvl w:val="0"/>
          <w:numId w:val="19"/>
        </w:numPr>
        <w:spacing w:after="0"/>
        <w:rPr>
          <w:sz w:val="22"/>
          <w:szCs w:val="22"/>
        </w:rPr>
      </w:pPr>
      <w:r w:rsidRPr="00FE3D27">
        <w:rPr>
          <w:sz w:val="22"/>
          <w:szCs w:val="22"/>
        </w:rPr>
        <w:t xml:space="preserve">Previous </w:t>
      </w:r>
      <w:r w:rsidR="00901356" w:rsidRPr="00FE3D27">
        <w:rPr>
          <w:sz w:val="22"/>
          <w:szCs w:val="22"/>
        </w:rPr>
        <w:t>engage</w:t>
      </w:r>
      <w:r w:rsidRPr="00FE3D27">
        <w:rPr>
          <w:sz w:val="22"/>
          <w:szCs w:val="22"/>
        </w:rPr>
        <w:t>ment/positioning/discussions o</w:t>
      </w:r>
      <w:r w:rsidR="00901356" w:rsidRPr="00FE3D27">
        <w:rPr>
          <w:sz w:val="22"/>
          <w:szCs w:val="22"/>
        </w:rPr>
        <w:t>n the Guidelines</w:t>
      </w:r>
      <w:r w:rsidRPr="00FE3D27">
        <w:rPr>
          <w:sz w:val="22"/>
          <w:szCs w:val="22"/>
        </w:rPr>
        <w:t xml:space="preserve"> at capital and global level</w:t>
      </w:r>
      <w:r w:rsidR="00901356" w:rsidRPr="00FE3D27">
        <w:rPr>
          <w:sz w:val="22"/>
          <w:szCs w:val="22"/>
        </w:rPr>
        <w:t xml:space="preserve">? </w:t>
      </w:r>
    </w:p>
    <w:p w14:paraId="6988057B" w14:textId="50F6DD9F" w:rsidR="005E59A1" w:rsidRPr="00FE3D27" w:rsidRDefault="00901356" w:rsidP="00A9649E">
      <w:pPr>
        <w:pStyle w:val="ListParagraph"/>
        <w:numPr>
          <w:ilvl w:val="0"/>
          <w:numId w:val="19"/>
        </w:numPr>
        <w:spacing w:after="0"/>
        <w:rPr>
          <w:sz w:val="22"/>
          <w:szCs w:val="22"/>
        </w:rPr>
      </w:pPr>
      <w:r w:rsidRPr="00FE3D27">
        <w:rPr>
          <w:sz w:val="22"/>
          <w:szCs w:val="22"/>
        </w:rPr>
        <w:t>Does the government have a political stake in being seen as supportive of the Guidelines</w:t>
      </w:r>
      <w:r w:rsidR="005E59A1" w:rsidRPr="00FE3D27">
        <w:rPr>
          <w:sz w:val="22"/>
          <w:szCs w:val="22"/>
        </w:rPr>
        <w:t xml:space="preserve"> (internally or externally)</w:t>
      </w:r>
      <w:r w:rsidRPr="00FE3D27">
        <w:rPr>
          <w:sz w:val="22"/>
          <w:szCs w:val="22"/>
        </w:rPr>
        <w:t>?</w:t>
      </w:r>
    </w:p>
    <w:p w14:paraId="0CDED987" w14:textId="02AD648B" w:rsidR="005E59A1" w:rsidRPr="00FE3D27" w:rsidRDefault="005E59A1" w:rsidP="00A9649E">
      <w:pPr>
        <w:pStyle w:val="ListParagraph"/>
        <w:numPr>
          <w:ilvl w:val="0"/>
          <w:numId w:val="19"/>
        </w:numPr>
        <w:spacing w:after="0"/>
        <w:rPr>
          <w:sz w:val="22"/>
          <w:szCs w:val="22"/>
        </w:rPr>
      </w:pPr>
      <w:r w:rsidRPr="00FE3D27">
        <w:rPr>
          <w:sz w:val="22"/>
          <w:szCs w:val="22"/>
        </w:rPr>
        <w:t>Does the country play a strategic role in regional and/or global fora?</w:t>
      </w:r>
    </w:p>
    <w:p w14:paraId="4AD0D66A" w14:textId="77777777" w:rsidR="005E59A1" w:rsidRPr="00FE3D27" w:rsidRDefault="005E59A1" w:rsidP="00642C1E">
      <w:pPr>
        <w:spacing w:after="0"/>
        <w:rPr>
          <w:sz w:val="22"/>
          <w:szCs w:val="22"/>
        </w:rPr>
      </w:pPr>
    </w:p>
    <w:p w14:paraId="7B563267" w14:textId="460A8BBB" w:rsidR="00901356" w:rsidRPr="00FE3D27" w:rsidRDefault="00901356" w:rsidP="00642C1E">
      <w:pPr>
        <w:spacing w:after="0"/>
        <w:rPr>
          <w:b/>
          <w:sz w:val="22"/>
          <w:szCs w:val="22"/>
        </w:rPr>
      </w:pPr>
      <w:r w:rsidRPr="00FE3D27">
        <w:rPr>
          <w:b/>
          <w:sz w:val="22"/>
          <w:szCs w:val="22"/>
        </w:rPr>
        <w:t xml:space="preserve">Target identification: </w:t>
      </w:r>
    </w:p>
    <w:p w14:paraId="182C970C" w14:textId="51FB1DF3" w:rsidR="00901356" w:rsidRPr="00FE3D27" w:rsidRDefault="005E59A1" w:rsidP="00A9649E">
      <w:pPr>
        <w:pStyle w:val="ListParagraph"/>
        <w:numPr>
          <w:ilvl w:val="0"/>
          <w:numId w:val="20"/>
        </w:numPr>
        <w:spacing w:after="0"/>
        <w:rPr>
          <w:sz w:val="22"/>
          <w:szCs w:val="22"/>
        </w:rPr>
      </w:pPr>
      <w:r w:rsidRPr="00FE3D27">
        <w:rPr>
          <w:sz w:val="22"/>
          <w:szCs w:val="22"/>
        </w:rPr>
        <w:t xml:space="preserve">Who are the </w:t>
      </w:r>
      <w:r w:rsidR="007F30D1" w:rsidRPr="00FE3D27">
        <w:rPr>
          <w:sz w:val="22"/>
          <w:szCs w:val="22"/>
        </w:rPr>
        <w:t xml:space="preserve">government </w:t>
      </w:r>
      <w:r w:rsidRPr="00FE3D27">
        <w:rPr>
          <w:sz w:val="22"/>
          <w:szCs w:val="22"/>
        </w:rPr>
        <w:t xml:space="preserve">decision makers and who can you have access to? (e.g. </w:t>
      </w:r>
      <w:r w:rsidR="00901356" w:rsidRPr="00FE3D27">
        <w:rPr>
          <w:sz w:val="22"/>
          <w:szCs w:val="22"/>
        </w:rPr>
        <w:t>President or Prime Minister</w:t>
      </w:r>
      <w:r w:rsidRPr="00FE3D27">
        <w:rPr>
          <w:sz w:val="22"/>
          <w:szCs w:val="22"/>
        </w:rPr>
        <w:t xml:space="preserve">, </w:t>
      </w:r>
      <w:r w:rsidR="00901356" w:rsidRPr="00FE3D27">
        <w:rPr>
          <w:sz w:val="22"/>
          <w:szCs w:val="22"/>
        </w:rPr>
        <w:t>Ministry of Education</w:t>
      </w:r>
      <w:r w:rsidRPr="00FE3D27">
        <w:rPr>
          <w:sz w:val="22"/>
          <w:szCs w:val="22"/>
        </w:rPr>
        <w:t xml:space="preserve">, </w:t>
      </w:r>
      <w:r w:rsidR="00901356" w:rsidRPr="00FE3D27">
        <w:rPr>
          <w:sz w:val="22"/>
          <w:szCs w:val="22"/>
        </w:rPr>
        <w:t>Ministry of Foreign Affairs</w:t>
      </w:r>
      <w:r w:rsidRPr="00FE3D27">
        <w:rPr>
          <w:sz w:val="22"/>
          <w:szCs w:val="22"/>
        </w:rPr>
        <w:t xml:space="preserve">, </w:t>
      </w:r>
      <w:r w:rsidR="00901356" w:rsidRPr="00FE3D27">
        <w:rPr>
          <w:sz w:val="22"/>
          <w:szCs w:val="22"/>
        </w:rPr>
        <w:t>Ministry of Defence</w:t>
      </w:r>
      <w:r w:rsidRPr="00FE3D27">
        <w:rPr>
          <w:sz w:val="22"/>
          <w:szCs w:val="22"/>
        </w:rPr>
        <w:t xml:space="preserve">, </w:t>
      </w:r>
      <w:r w:rsidR="00901356" w:rsidRPr="00FE3D27">
        <w:rPr>
          <w:sz w:val="22"/>
          <w:szCs w:val="22"/>
        </w:rPr>
        <w:t>Military</w:t>
      </w:r>
      <w:r w:rsidRPr="00FE3D27">
        <w:rPr>
          <w:sz w:val="22"/>
          <w:szCs w:val="22"/>
        </w:rPr>
        <w:t>, Parliament)</w:t>
      </w:r>
    </w:p>
    <w:p w14:paraId="29B8D403" w14:textId="7EEBC80F" w:rsidR="007F30D1" w:rsidRPr="00FE3D27" w:rsidRDefault="007F30D1" w:rsidP="00A9649E">
      <w:pPr>
        <w:pStyle w:val="ListParagraph"/>
        <w:numPr>
          <w:ilvl w:val="0"/>
          <w:numId w:val="20"/>
        </w:numPr>
        <w:spacing w:after="0"/>
        <w:rPr>
          <w:sz w:val="22"/>
          <w:szCs w:val="22"/>
        </w:rPr>
      </w:pPr>
      <w:r w:rsidRPr="00FE3D27">
        <w:rPr>
          <w:sz w:val="22"/>
          <w:szCs w:val="22"/>
        </w:rPr>
        <w:t>Are there any armed groups in the country? If so, who has access to them?</w:t>
      </w:r>
    </w:p>
    <w:p w14:paraId="2A0FC424" w14:textId="79677B70" w:rsidR="00901356" w:rsidRPr="00FE3D27" w:rsidRDefault="005E59A1" w:rsidP="00A9649E">
      <w:pPr>
        <w:pStyle w:val="ListParagraph"/>
        <w:numPr>
          <w:ilvl w:val="0"/>
          <w:numId w:val="20"/>
        </w:numPr>
        <w:spacing w:after="0"/>
        <w:rPr>
          <w:sz w:val="22"/>
          <w:szCs w:val="22"/>
        </w:rPr>
      </w:pPr>
      <w:r w:rsidRPr="00FE3D27">
        <w:rPr>
          <w:sz w:val="22"/>
          <w:szCs w:val="22"/>
        </w:rPr>
        <w:t>Who can help you</w:t>
      </w:r>
      <w:r w:rsidR="008F2BC1" w:rsidRPr="00FE3D27">
        <w:rPr>
          <w:sz w:val="22"/>
          <w:szCs w:val="22"/>
        </w:rPr>
        <w:t>, who are your strategic allies</w:t>
      </w:r>
      <w:r w:rsidRPr="00FE3D27">
        <w:rPr>
          <w:sz w:val="22"/>
          <w:szCs w:val="22"/>
        </w:rPr>
        <w:t xml:space="preserve">? (e.g. </w:t>
      </w:r>
      <w:r w:rsidR="00901356" w:rsidRPr="00FE3D27">
        <w:rPr>
          <w:sz w:val="22"/>
          <w:szCs w:val="22"/>
        </w:rPr>
        <w:t>UN Organisations</w:t>
      </w:r>
      <w:r w:rsidRPr="00FE3D27">
        <w:rPr>
          <w:sz w:val="22"/>
          <w:szCs w:val="22"/>
        </w:rPr>
        <w:t xml:space="preserve">, </w:t>
      </w:r>
      <w:r w:rsidR="008D1A1F" w:rsidRPr="00FE3D27">
        <w:rPr>
          <w:sz w:val="22"/>
          <w:szCs w:val="22"/>
        </w:rPr>
        <w:t xml:space="preserve">MRM Task Forces, Geneva Call, ICRC, </w:t>
      </w:r>
      <w:r w:rsidR="007F30D1" w:rsidRPr="00FE3D27">
        <w:rPr>
          <w:sz w:val="22"/>
          <w:szCs w:val="22"/>
        </w:rPr>
        <w:t xml:space="preserve">diplomatic representations, </w:t>
      </w:r>
      <w:r w:rsidRPr="00FE3D27">
        <w:rPr>
          <w:sz w:val="22"/>
          <w:szCs w:val="22"/>
        </w:rPr>
        <w:t>national civil society, teachers/student unions</w:t>
      </w:r>
      <w:r w:rsidR="008D1A1F" w:rsidRPr="00FE3D27">
        <w:rPr>
          <w:sz w:val="22"/>
          <w:szCs w:val="22"/>
        </w:rPr>
        <w:t xml:space="preserve"> etc.</w:t>
      </w:r>
      <w:r w:rsidRPr="00FE3D27">
        <w:rPr>
          <w:sz w:val="22"/>
          <w:szCs w:val="22"/>
        </w:rPr>
        <w:t>)</w:t>
      </w:r>
    </w:p>
    <w:p w14:paraId="4BB10FC5" w14:textId="77777777" w:rsidR="005E59A1" w:rsidRPr="00FE3D27" w:rsidRDefault="005E59A1" w:rsidP="00642C1E">
      <w:pPr>
        <w:spacing w:after="0"/>
        <w:rPr>
          <w:sz w:val="22"/>
          <w:szCs w:val="22"/>
        </w:rPr>
      </w:pPr>
    </w:p>
    <w:p w14:paraId="39E4753E" w14:textId="507A6FEA" w:rsidR="00901356" w:rsidRPr="00FE3D27" w:rsidRDefault="00901356" w:rsidP="00642C1E">
      <w:pPr>
        <w:spacing w:after="0"/>
        <w:rPr>
          <w:b/>
          <w:sz w:val="22"/>
          <w:szCs w:val="22"/>
        </w:rPr>
      </w:pPr>
      <w:r w:rsidRPr="00FE3D27">
        <w:rPr>
          <w:b/>
          <w:sz w:val="22"/>
          <w:szCs w:val="22"/>
        </w:rPr>
        <w:t>Mapping opportunities:</w:t>
      </w:r>
    </w:p>
    <w:p w14:paraId="2558914C" w14:textId="3A37DE63" w:rsidR="00901356" w:rsidRPr="00FE3D27" w:rsidRDefault="008F2BC1" w:rsidP="00A9649E">
      <w:pPr>
        <w:pStyle w:val="ListParagraph"/>
        <w:numPr>
          <w:ilvl w:val="0"/>
          <w:numId w:val="21"/>
        </w:numPr>
        <w:spacing w:after="0"/>
        <w:rPr>
          <w:sz w:val="22"/>
          <w:szCs w:val="22"/>
        </w:rPr>
      </w:pPr>
      <w:r w:rsidRPr="00FE3D27">
        <w:rPr>
          <w:sz w:val="22"/>
          <w:szCs w:val="22"/>
        </w:rPr>
        <w:t>For s</w:t>
      </w:r>
      <w:r w:rsidR="00901356" w:rsidRPr="00FE3D27">
        <w:rPr>
          <w:sz w:val="22"/>
          <w:szCs w:val="22"/>
        </w:rPr>
        <w:t>ecuring political commitment or public support</w:t>
      </w:r>
      <w:r w:rsidRPr="00FE3D27">
        <w:rPr>
          <w:sz w:val="22"/>
          <w:szCs w:val="22"/>
        </w:rPr>
        <w:t xml:space="preserve">: e.g. </w:t>
      </w:r>
      <w:r w:rsidR="00901356" w:rsidRPr="00FE3D27">
        <w:rPr>
          <w:sz w:val="22"/>
          <w:szCs w:val="22"/>
        </w:rPr>
        <w:t>election campaign</w:t>
      </w:r>
      <w:r w:rsidRPr="00FE3D27">
        <w:rPr>
          <w:sz w:val="22"/>
          <w:szCs w:val="22"/>
        </w:rPr>
        <w:t>, parliament discussions, engagement on global or regional agendas (Consider in particular events that have concrete outcome documents and/or follow-up processes) etc…</w:t>
      </w:r>
    </w:p>
    <w:p w14:paraId="61F3E4AC" w14:textId="37D81F41" w:rsidR="005E59A1" w:rsidRPr="00FE3D27" w:rsidRDefault="005E59A1" w:rsidP="00A9649E">
      <w:pPr>
        <w:pStyle w:val="ListParagraph"/>
        <w:numPr>
          <w:ilvl w:val="0"/>
          <w:numId w:val="21"/>
        </w:numPr>
        <w:spacing w:after="0"/>
        <w:rPr>
          <w:sz w:val="22"/>
          <w:szCs w:val="22"/>
        </w:rPr>
      </w:pPr>
      <w:r w:rsidRPr="00FE3D27">
        <w:rPr>
          <w:sz w:val="22"/>
          <w:szCs w:val="22"/>
        </w:rPr>
        <w:t>C</w:t>
      </w:r>
      <w:r w:rsidR="00901356" w:rsidRPr="00FE3D27">
        <w:rPr>
          <w:sz w:val="22"/>
          <w:szCs w:val="22"/>
        </w:rPr>
        <w:t>hang</w:t>
      </w:r>
      <w:r w:rsidRPr="00FE3D27">
        <w:rPr>
          <w:sz w:val="22"/>
          <w:szCs w:val="22"/>
        </w:rPr>
        <w:t>ing policies, laws</w:t>
      </w:r>
      <w:r w:rsidR="007F30D1" w:rsidRPr="00FE3D27">
        <w:rPr>
          <w:sz w:val="22"/>
          <w:szCs w:val="22"/>
        </w:rPr>
        <w:t xml:space="preserve"> and practices</w:t>
      </w:r>
      <w:r w:rsidR="008F2BC1" w:rsidRPr="00FE3D27">
        <w:rPr>
          <w:sz w:val="22"/>
          <w:szCs w:val="22"/>
        </w:rPr>
        <w:t xml:space="preserve">: </w:t>
      </w:r>
      <w:r w:rsidR="007F30D1" w:rsidRPr="00FE3D27">
        <w:rPr>
          <w:sz w:val="22"/>
          <w:szCs w:val="22"/>
        </w:rPr>
        <w:t xml:space="preserve">upcoming </w:t>
      </w:r>
      <w:r w:rsidR="008F2BC1" w:rsidRPr="00FE3D27">
        <w:rPr>
          <w:sz w:val="22"/>
          <w:szCs w:val="22"/>
        </w:rPr>
        <w:t>policy, legal or doctrinal review process</w:t>
      </w:r>
      <w:r w:rsidR="007F30D1" w:rsidRPr="00FE3D27">
        <w:rPr>
          <w:sz w:val="22"/>
          <w:szCs w:val="22"/>
        </w:rPr>
        <w:t>es, peace talks, dialogues/engagement with international mechanisms (MRM, UPR, CRC etc…);</w:t>
      </w:r>
    </w:p>
    <w:p w14:paraId="383D4CF2" w14:textId="0C25ADB3" w:rsidR="00901356" w:rsidRPr="00FE3D27" w:rsidRDefault="005E59A1" w:rsidP="00A9649E">
      <w:pPr>
        <w:pStyle w:val="ListParagraph"/>
        <w:numPr>
          <w:ilvl w:val="0"/>
          <w:numId w:val="21"/>
        </w:numPr>
        <w:spacing w:after="0"/>
        <w:rPr>
          <w:sz w:val="22"/>
          <w:szCs w:val="22"/>
        </w:rPr>
      </w:pPr>
      <w:r w:rsidRPr="00FE3D27">
        <w:rPr>
          <w:sz w:val="22"/>
          <w:szCs w:val="22"/>
        </w:rPr>
        <w:t>R</w:t>
      </w:r>
      <w:r w:rsidR="008F2BC1" w:rsidRPr="00FE3D27">
        <w:rPr>
          <w:sz w:val="22"/>
          <w:szCs w:val="22"/>
        </w:rPr>
        <w:t xml:space="preserve">aising awareness: any </w:t>
      </w:r>
      <w:r w:rsidRPr="00FE3D27">
        <w:rPr>
          <w:sz w:val="22"/>
          <w:szCs w:val="22"/>
        </w:rPr>
        <w:t>events</w:t>
      </w:r>
      <w:r w:rsidR="00A84950" w:rsidRPr="00FE3D27">
        <w:rPr>
          <w:sz w:val="22"/>
          <w:szCs w:val="22"/>
        </w:rPr>
        <w:t xml:space="preserve"> or developments</w:t>
      </w:r>
      <w:r w:rsidRPr="00FE3D27">
        <w:rPr>
          <w:sz w:val="22"/>
          <w:szCs w:val="22"/>
        </w:rPr>
        <w:t xml:space="preserve"> at national or global level that could be used as a “hook” for media outreach</w:t>
      </w:r>
      <w:r w:rsidR="00901356" w:rsidRPr="00FE3D27">
        <w:rPr>
          <w:sz w:val="22"/>
          <w:szCs w:val="22"/>
        </w:rPr>
        <w:t xml:space="preserve">, </w:t>
      </w:r>
      <w:r w:rsidRPr="00FE3D27">
        <w:rPr>
          <w:sz w:val="22"/>
          <w:szCs w:val="22"/>
        </w:rPr>
        <w:t xml:space="preserve">or </w:t>
      </w:r>
      <w:r w:rsidR="00901356" w:rsidRPr="00FE3D27">
        <w:rPr>
          <w:sz w:val="22"/>
          <w:szCs w:val="22"/>
        </w:rPr>
        <w:t>where you can disseminate information</w:t>
      </w:r>
      <w:r w:rsidR="00A84950" w:rsidRPr="00FE3D27">
        <w:rPr>
          <w:sz w:val="22"/>
          <w:szCs w:val="22"/>
        </w:rPr>
        <w:t xml:space="preserve"> on the Guidelines</w:t>
      </w:r>
      <w:r w:rsidR="008F2BC1" w:rsidRPr="00FE3D27">
        <w:rPr>
          <w:sz w:val="22"/>
          <w:szCs w:val="22"/>
        </w:rPr>
        <w:t>?</w:t>
      </w:r>
    </w:p>
    <w:p w14:paraId="626C7FB7" w14:textId="77777777" w:rsidR="00901356" w:rsidRPr="00FE3D27" w:rsidRDefault="00901356" w:rsidP="00642C1E">
      <w:pPr>
        <w:spacing w:after="0"/>
        <w:rPr>
          <w:sz w:val="22"/>
          <w:szCs w:val="22"/>
        </w:rPr>
      </w:pPr>
    </w:p>
    <w:p w14:paraId="776C8557" w14:textId="6A0304C4" w:rsidR="00901356" w:rsidRPr="00FE3D27" w:rsidRDefault="008F2BC1" w:rsidP="00642C1E">
      <w:pPr>
        <w:spacing w:after="0"/>
        <w:rPr>
          <w:b/>
          <w:sz w:val="22"/>
          <w:szCs w:val="22"/>
        </w:rPr>
      </w:pPr>
      <w:r w:rsidRPr="00FE3D27">
        <w:rPr>
          <w:b/>
          <w:sz w:val="22"/>
          <w:szCs w:val="22"/>
        </w:rPr>
        <w:t>Identify possible i</w:t>
      </w:r>
      <w:r w:rsidR="00901356" w:rsidRPr="00FE3D27">
        <w:rPr>
          <w:b/>
          <w:sz w:val="22"/>
          <w:szCs w:val="22"/>
        </w:rPr>
        <w:t xml:space="preserve">nfluencing </w:t>
      </w:r>
      <w:r w:rsidRPr="00FE3D27">
        <w:rPr>
          <w:b/>
          <w:sz w:val="22"/>
          <w:szCs w:val="22"/>
        </w:rPr>
        <w:t>s</w:t>
      </w:r>
      <w:r w:rsidR="00901356" w:rsidRPr="00FE3D27">
        <w:rPr>
          <w:b/>
          <w:sz w:val="22"/>
          <w:szCs w:val="22"/>
        </w:rPr>
        <w:t>trategies</w:t>
      </w:r>
      <w:r w:rsidR="00A84950" w:rsidRPr="00FE3D27">
        <w:rPr>
          <w:b/>
          <w:sz w:val="22"/>
          <w:szCs w:val="22"/>
        </w:rPr>
        <w:t>:</w:t>
      </w:r>
    </w:p>
    <w:p w14:paraId="704149D4" w14:textId="019DACEF" w:rsidR="00A20EFB" w:rsidRPr="00FE3D27" w:rsidRDefault="00A20EFB" w:rsidP="00A9649E">
      <w:pPr>
        <w:pStyle w:val="ListParagraph"/>
        <w:numPr>
          <w:ilvl w:val="0"/>
          <w:numId w:val="22"/>
        </w:numPr>
        <w:spacing w:after="0"/>
        <w:rPr>
          <w:sz w:val="22"/>
          <w:szCs w:val="22"/>
        </w:rPr>
      </w:pPr>
      <w:r w:rsidRPr="00FE3D27">
        <w:rPr>
          <w:sz w:val="22"/>
          <w:szCs w:val="22"/>
        </w:rPr>
        <w:t>Direct bilateral contact</w:t>
      </w:r>
      <w:r w:rsidR="008F2BC1" w:rsidRPr="00FE3D27">
        <w:rPr>
          <w:sz w:val="22"/>
          <w:szCs w:val="22"/>
        </w:rPr>
        <w:t xml:space="preserve"> </w:t>
      </w:r>
      <w:r w:rsidRPr="00FE3D27">
        <w:rPr>
          <w:sz w:val="22"/>
          <w:szCs w:val="22"/>
        </w:rPr>
        <w:t>with decision-makers;</w:t>
      </w:r>
    </w:p>
    <w:p w14:paraId="2DA28464" w14:textId="19000BC4" w:rsidR="008F2BC1" w:rsidRPr="00FE3D27" w:rsidRDefault="00A20EFB" w:rsidP="00A9649E">
      <w:pPr>
        <w:pStyle w:val="ListParagraph"/>
        <w:numPr>
          <w:ilvl w:val="0"/>
          <w:numId w:val="22"/>
        </w:numPr>
        <w:spacing w:after="0"/>
        <w:rPr>
          <w:sz w:val="22"/>
          <w:szCs w:val="22"/>
        </w:rPr>
      </w:pPr>
      <w:r w:rsidRPr="00FE3D27">
        <w:rPr>
          <w:sz w:val="22"/>
          <w:szCs w:val="22"/>
        </w:rPr>
        <w:t>L</w:t>
      </w:r>
      <w:r w:rsidR="008F2BC1" w:rsidRPr="00FE3D27">
        <w:rPr>
          <w:sz w:val="22"/>
          <w:szCs w:val="22"/>
        </w:rPr>
        <w:t xml:space="preserve">everaging </w:t>
      </w:r>
      <w:r w:rsidRPr="00FE3D27">
        <w:rPr>
          <w:sz w:val="22"/>
          <w:szCs w:val="22"/>
        </w:rPr>
        <w:t>strategic allies (instead or in support of bilateral contacts);</w:t>
      </w:r>
    </w:p>
    <w:p w14:paraId="55A68609" w14:textId="2E6057C5" w:rsidR="00901356" w:rsidRPr="00FE3D27" w:rsidRDefault="008F2BC1" w:rsidP="00A9649E">
      <w:pPr>
        <w:pStyle w:val="ListParagraph"/>
        <w:numPr>
          <w:ilvl w:val="0"/>
          <w:numId w:val="22"/>
        </w:numPr>
        <w:spacing w:after="0"/>
        <w:rPr>
          <w:sz w:val="22"/>
          <w:szCs w:val="22"/>
        </w:rPr>
      </w:pPr>
      <w:r w:rsidRPr="00FE3D27">
        <w:rPr>
          <w:sz w:val="22"/>
          <w:szCs w:val="22"/>
        </w:rPr>
        <w:t xml:space="preserve">Public communication to raise awareness and mobilize public support. </w:t>
      </w:r>
      <w:r w:rsidR="00901356" w:rsidRPr="00FE3D27">
        <w:rPr>
          <w:sz w:val="22"/>
          <w:szCs w:val="22"/>
        </w:rPr>
        <w:t xml:space="preserve"> </w:t>
      </w:r>
    </w:p>
    <w:p w14:paraId="1A184EDD" w14:textId="77777777" w:rsidR="00901356" w:rsidRPr="00FE3D27" w:rsidRDefault="00901356" w:rsidP="00642C1E">
      <w:pPr>
        <w:spacing w:after="0"/>
        <w:rPr>
          <w:sz w:val="22"/>
          <w:szCs w:val="22"/>
        </w:rPr>
      </w:pPr>
    </w:p>
    <w:p w14:paraId="6220BE44" w14:textId="78400411" w:rsidR="00901356" w:rsidRPr="00FE3D27" w:rsidRDefault="00901356" w:rsidP="00642C1E">
      <w:pPr>
        <w:spacing w:after="0"/>
        <w:rPr>
          <w:b/>
          <w:sz w:val="22"/>
          <w:szCs w:val="22"/>
        </w:rPr>
      </w:pPr>
      <w:bookmarkStart w:id="21" w:name="h.44sinio" w:colFirst="0" w:colLast="0"/>
      <w:bookmarkStart w:id="22" w:name="h.2jxsxqh" w:colFirst="0" w:colLast="0"/>
      <w:bookmarkEnd w:id="21"/>
      <w:bookmarkEnd w:id="22"/>
      <w:r w:rsidRPr="00FE3D27">
        <w:rPr>
          <w:b/>
          <w:sz w:val="22"/>
          <w:szCs w:val="22"/>
        </w:rPr>
        <w:t xml:space="preserve">Develop clear and relevant messaging </w:t>
      </w:r>
    </w:p>
    <w:p w14:paraId="1D301B42" w14:textId="3DB54710" w:rsidR="00901356" w:rsidRPr="00FE3D27" w:rsidRDefault="00A84950" w:rsidP="00A9649E">
      <w:pPr>
        <w:pStyle w:val="ListParagraph"/>
        <w:numPr>
          <w:ilvl w:val="0"/>
          <w:numId w:val="23"/>
        </w:numPr>
        <w:spacing w:after="0"/>
        <w:rPr>
          <w:sz w:val="22"/>
          <w:szCs w:val="22"/>
        </w:rPr>
      </w:pPr>
      <w:r w:rsidRPr="00FE3D27">
        <w:rPr>
          <w:sz w:val="22"/>
          <w:szCs w:val="22"/>
        </w:rPr>
        <w:t xml:space="preserve">Refer to the targeted objectives </w:t>
      </w:r>
      <w:r w:rsidR="00A20EFB" w:rsidRPr="00FE3D27">
        <w:rPr>
          <w:sz w:val="22"/>
          <w:szCs w:val="22"/>
        </w:rPr>
        <w:t xml:space="preserve">on the table </w:t>
      </w:r>
      <w:r w:rsidRPr="00FE3D27">
        <w:rPr>
          <w:sz w:val="22"/>
          <w:szCs w:val="22"/>
        </w:rPr>
        <w:t>above</w:t>
      </w:r>
      <w:r w:rsidR="00A20EFB" w:rsidRPr="00FE3D27">
        <w:rPr>
          <w:sz w:val="22"/>
          <w:szCs w:val="22"/>
        </w:rPr>
        <w:t>, according to the government’s position on the Guidelines;</w:t>
      </w:r>
    </w:p>
    <w:p w14:paraId="16E48679" w14:textId="6E73FD63" w:rsidR="00A84950" w:rsidRPr="00FE3D27" w:rsidRDefault="00A84950" w:rsidP="00A9649E">
      <w:pPr>
        <w:pStyle w:val="ListParagraph"/>
        <w:numPr>
          <w:ilvl w:val="0"/>
          <w:numId w:val="23"/>
        </w:numPr>
        <w:spacing w:after="0"/>
        <w:rPr>
          <w:sz w:val="22"/>
          <w:szCs w:val="22"/>
        </w:rPr>
      </w:pPr>
      <w:r w:rsidRPr="00FE3D27">
        <w:rPr>
          <w:sz w:val="22"/>
          <w:szCs w:val="22"/>
        </w:rPr>
        <w:t>Refer to the core messages in annex</w:t>
      </w:r>
      <w:r w:rsidR="00A20EFB" w:rsidRPr="00FE3D27">
        <w:rPr>
          <w:sz w:val="22"/>
          <w:szCs w:val="22"/>
        </w:rPr>
        <w:t>;</w:t>
      </w:r>
    </w:p>
    <w:p w14:paraId="7DED5F61" w14:textId="5EA4C98F" w:rsidR="000A7F78" w:rsidRPr="00FE3D27" w:rsidRDefault="00A84950" w:rsidP="00A9649E">
      <w:pPr>
        <w:pStyle w:val="ListParagraph"/>
        <w:numPr>
          <w:ilvl w:val="0"/>
          <w:numId w:val="23"/>
        </w:numPr>
        <w:spacing w:after="0"/>
        <w:rPr>
          <w:sz w:val="22"/>
          <w:szCs w:val="22"/>
        </w:rPr>
      </w:pPr>
      <w:r w:rsidRPr="00FE3D27">
        <w:rPr>
          <w:sz w:val="22"/>
          <w:szCs w:val="22"/>
        </w:rPr>
        <w:t>Coordinate with GCPEA through the relevant focal point</w:t>
      </w:r>
      <w:r w:rsidR="003F6804" w:rsidRPr="00FE3D27">
        <w:rPr>
          <w:sz w:val="22"/>
          <w:szCs w:val="22"/>
        </w:rPr>
        <w:t xml:space="preserve"> to ensure strategic coherence with outreach and dynamics at Geneva or New York level</w:t>
      </w:r>
      <w:r w:rsidR="00A20EFB" w:rsidRPr="00FE3D27">
        <w:rPr>
          <w:sz w:val="22"/>
          <w:szCs w:val="22"/>
        </w:rPr>
        <w:t>.</w:t>
      </w:r>
      <w:bookmarkStart w:id="23" w:name="h.lnxbz9" w:colFirst="0" w:colLast="0"/>
      <w:bookmarkEnd w:id="23"/>
    </w:p>
    <w:p w14:paraId="0224D86B" w14:textId="77777777" w:rsidR="00A20EFB" w:rsidRPr="00FE3D27" w:rsidRDefault="00A20EFB" w:rsidP="00A20EFB">
      <w:pPr>
        <w:pStyle w:val="CommentText"/>
        <w:spacing w:after="0"/>
        <w:ind w:left="720"/>
        <w:jc w:val="both"/>
        <w:rPr>
          <w:sz w:val="22"/>
          <w:szCs w:val="22"/>
          <w:highlight w:val="yellow"/>
        </w:rPr>
      </w:pPr>
    </w:p>
    <w:p w14:paraId="26096C5B" w14:textId="77777777" w:rsidR="007A4121" w:rsidRDefault="007A4121">
      <w:pPr>
        <w:rPr>
          <w:rFonts w:asciiTheme="majorHAnsi" w:eastAsiaTheme="majorEastAsia" w:hAnsiTheme="majorHAnsi" w:cstheme="majorBidi"/>
          <w:b/>
          <w:bCs/>
          <w:color w:val="345A8A" w:themeColor="accent1" w:themeShade="B5"/>
          <w:sz w:val="32"/>
          <w:szCs w:val="32"/>
        </w:rPr>
      </w:pPr>
      <w:r>
        <w:br w:type="page"/>
      </w:r>
    </w:p>
    <w:p w14:paraId="255E50BA" w14:textId="4E978656" w:rsidR="0015324C" w:rsidRPr="00FC4270" w:rsidRDefault="0015324C" w:rsidP="00A20EFB">
      <w:pPr>
        <w:pStyle w:val="Heading1"/>
        <w:spacing w:before="0"/>
      </w:pPr>
      <w:bookmarkStart w:id="24" w:name="_Toc412485703"/>
      <w:r w:rsidRPr="00FC4270">
        <w:lastRenderedPageBreak/>
        <w:t xml:space="preserve">Section </w:t>
      </w:r>
      <w:r w:rsidR="004B1C95" w:rsidRPr="00FC4270">
        <w:t>4</w:t>
      </w:r>
      <w:r w:rsidRPr="00FC4270">
        <w:t xml:space="preserve">: Global and Regional </w:t>
      </w:r>
      <w:r w:rsidR="007049DB">
        <w:t>Advocacy</w:t>
      </w:r>
      <w:bookmarkEnd w:id="24"/>
    </w:p>
    <w:p w14:paraId="296B2575" w14:textId="77777777" w:rsidR="009E6B35" w:rsidRPr="00B95C6C" w:rsidRDefault="009E6B35" w:rsidP="00A20EFB">
      <w:pPr>
        <w:spacing w:after="0"/>
        <w:jc w:val="both"/>
        <w:rPr>
          <w:sz w:val="22"/>
          <w:szCs w:val="22"/>
        </w:rPr>
      </w:pPr>
    </w:p>
    <w:p w14:paraId="4FD3FBFC" w14:textId="0FB6C7FD" w:rsidR="008D1A1F" w:rsidRDefault="009E6B35" w:rsidP="008D1A1F">
      <w:pPr>
        <w:spacing w:after="0"/>
        <w:jc w:val="both"/>
        <w:rPr>
          <w:sz w:val="22"/>
          <w:szCs w:val="22"/>
        </w:rPr>
      </w:pPr>
      <w:r w:rsidRPr="00B95C6C">
        <w:rPr>
          <w:sz w:val="22"/>
          <w:szCs w:val="22"/>
        </w:rPr>
        <w:t xml:space="preserve">Advocacy at </w:t>
      </w:r>
      <w:r w:rsidR="001D1117">
        <w:rPr>
          <w:sz w:val="22"/>
          <w:szCs w:val="22"/>
        </w:rPr>
        <w:t xml:space="preserve">the global and regional level has dual purpose to secure a specific reference to the Guidelines in important international documents </w:t>
      </w:r>
      <w:r w:rsidR="00237BD9">
        <w:rPr>
          <w:sz w:val="22"/>
          <w:szCs w:val="22"/>
        </w:rPr>
        <w:t>and/</w:t>
      </w:r>
      <w:r w:rsidR="001D1117">
        <w:rPr>
          <w:sz w:val="22"/>
          <w:szCs w:val="22"/>
        </w:rPr>
        <w:t>or reports detail</w:t>
      </w:r>
      <w:r w:rsidR="00237BD9">
        <w:rPr>
          <w:sz w:val="22"/>
          <w:szCs w:val="22"/>
        </w:rPr>
        <w:t>ed</w:t>
      </w:r>
      <w:r w:rsidR="001D1117">
        <w:rPr>
          <w:sz w:val="22"/>
          <w:szCs w:val="22"/>
        </w:rPr>
        <w:t xml:space="preserve"> in section 4.1 below; and to generate momentum and b</w:t>
      </w:r>
      <w:r w:rsidR="008D1A1F">
        <w:rPr>
          <w:sz w:val="22"/>
          <w:szCs w:val="22"/>
        </w:rPr>
        <w:t>roa</w:t>
      </w:r>
      <w:r w:rsidR="001D1117">
        <w:rPr>
          <w:sz w:val="22"/>
          <w:szCs w:val="22"/>
        </w:rPr>
        <w:t xml:space="preserve">d support for the Safe Schools Declaration and awareness of the </w:t>
      </w:r>
      <w:r w:rsidR="001D1117" w:rsidRPr="00AA4CA8">
        <w:rPr>
          <w:i/>
          <w:sz w:val="22"/>
          <w:szCs w:val="22"/>
        </w:rPr>
        <w:t>Guidelines</w:t>
      </w:r>
      <w:r w:rsidR="001D1117">
        <w:rPr>
          <w:sz w:val="22"/>
          <w:szCs w:val="22"/>
        </w:rPr>
        <w:t xml:space="preserve"> among the international protection and education communities </w:t>
      </w:r>
      <w:r w:rsidR="00237BD9">
        <w:rPr>
          <w:sz w:val="22"/>
          <w:szCs w:val="22"/>
        </w:rPr>
        <w:t xml:space="preserve">detailed in </w:t>
      </w:r>
      <w:r w:rsidR="00AC4E12">
        <w:rPr>
          <w:sz w:val="22"/>
          <w:szCs w:val="22"/>
        </w:rPr>
        <w:t>section 4.2</w:t>
      </w:r>
      <w:r w:rsidR="001D1117">
        <w:rPr>
          <w:sz w:val="22"/>
          <w:szCs w:val="22"/>
        </w:rPr>
        <w:t xml:space="preserve"> below. </w:t>
      </w:r>
    </w:p>
    <w:p w14:paraId="5DA278DE" w14:textId="77777777" w:rsidR="008D1A1F" w:rsidRPr="001D1117" w:rsidRDefault="008D1A1F" w:rsidP="00A20EFB">
      <w:pPr>
        <w:spacing w:after="0"/>
        <w:jc w:val="both"/>
        <w:rPr>
          <w:sz w:val="22"/>
          <w:szCs w:val="22"/>
        </w:rPr>
      </w:pPr>
    </w:p>
    <w:p w14:paraId="3158C767" w14:textId="22B8637B" w:rsidR="00AA4CA8" w:rsidRDefault="00AA4CA8" w:rsidP="009E23BE">
      <w:pPr>
        <w:pStyle w:val="Heading2"/>
      </w:pPr>
      <w:bookmarkStart w:id="25" w:name="_Toc412485704"/>
      <w:r>
        <w:t xml:space="preserve">4.1: Targets and Timeline for Specific Objective </w:t>
      </w:r>
      <w:r w:rsidR="00DF572F">
        <w:t>7</w:t>
      </w:r>
      <w:bookmarkEnd w:id="25"/>
    </w:p>
    <w:p w14:paraId="2E3295E8" w14:textId="48D91473" w:rsidR="009E6B35" w:rsidRDefault="001D1117" w:rsidP="00A20EFB">
      <w:pPr>
        <w:pStyle w:val="Normal1"/>
        <w:spacing w:after="0"/>
        <w:contextualSpacing/>
        <w:jc w:val="both"/>
        <w:rPr>
          <w:rFonts w:asciiTheme="minorHAnsi" w:hAnsiTheme="minorHAnsi"/>
          <w:sz w:val="22"/>
          <w:szCs w:val="22"/>
        </w:rPr>
      </w:pPr>
      <w:r w:rsidRPr="00B95C6C">
        <w:t xml:space="preserve">The table below summarises </w:t>
      </w:r>
      <w:r w:rsidR="00237BD9">
        <w:t xml:space="preserve">a list of </w:t>
      </w:r>
      <w:r w:rsidRPr="00B95C6C">
        <w:t xml:space="preserve">targets to achieve </w:t>
      </w:r>
      <w:r w:rsidR="00237BD9" w:rsidRPr="00B95C6C">
        <w:rPr>
          <w:sz w:val="22"/>
          <w:szCs w:val="22"/>
        </w:rPr>
        <w:t xml:space="preserve">Specific Objective </w:t>
      </w:r>
      <w:r w:rsidR="00DF572F">
        <w:rPr>
          <w:sz w:val="22"/>
          <w:szCs w:val="22"/>
        </w:rPr>
        <w:t>7</w:t>
      </w:r>
      <w:r w:rsidR="00237BD9" w:rsidRPr="00B95C6C">
        <w:rPr>
          <w:sz w:val="22"/>
          <w:szCs w:val="22"/>
        </w:rPr>
        <w:t xml:space="preserve"> (of this strategy)</w:t>
      </w:r>
      <w:r w:rsidR="00FB037C">
        <w:rPr>
          <w:sz w:val="22"/>
          <w:szCs w:val="22"/>
        </w:rPr>
        <w:t xml:space="preserve"> that “</w:t>
      </w:r>
      <w:r w:rsidR="00237BD9" w:rsidRPr="00B95C6C">
        <w:rPr>
          <w:rFonts w:asciiTheme="minorHAnsi" w:hAnsiTheme="minorHAnsi"/>
          <w:sz w:val="22"/>
          <w:szCs w:val="22"/>
        </w:rPr>
        <w:t xml:space="preserve">By December 2015, the </w:t>
      </w:r>
      <w:r w:rsidR="00237BD9" w:rsidRPr="00B95C6C">
        <w:rPr>
          <w:rFonts w:asciiTheme="minorHAnsi" w:hAnsiTheme="minorHAnsi"/>
          <w:i/>
          <w:sz w:val="22"/>
          <w:szCs w:val="22"/>
        </w:rPr>
        <w:t>Guidelines</w:t>
      </w:r>
      <w:r w:rsidR="00237BD9" w:rsidRPr="00B95C6C">
        <w:rPr>
          <w:rFonts w:asciiTheme="minorHAnsi" w:hAnsiTheme="minorHAnsi"/>
          <w:sz w:val="22"/>
          <w:szCs w:val="22"/>
        </w:rPr>
        <w:t xml:space="preserve"> are referenced in least four global mechanisms and initiatives relating to education and protection of children and civilians in armed conflict as a means to enhance the dissemination of and global support for the </w:t>
      </w:r>
      <w:r w:rsidR="00237BD9" w:rsidRPr="00B95C6C">
        <w:rPr>
          <w:rFonts w:asciiTheme="minorHAnsi" w:hAnsiTheme="minorHAnsi"/>
          <w:i/>
          <w:sz w:val="22"/>
          <w:szCs w:val="22"/>
        </w:rPr>
        <w:t>Guidelines</w:t>
      </w:r>
      <w:r w:rsidR="00237BD9" w:rsidRPr="00B95C6C">
        <w:rPr>
          <w:rFonts w:asciiTheme="minorHAnsi" w:hAnsiTheme="minorHAnsi"/>
          <w:sz w:val="22"/>
          <w:szCs w:val="22"/>
        </w:rPr>
        <w:t>.</w:t>
      </w:r>
    </w:p>
    <w:p w14:paraId="21AEA581" w14:textId="77777777" w:rsidR="00A20EFB" w:rsidRPr="00B95C6C" w:rsidRDefault="00A20EFB" w:rsidP="00A20EFB">
      <w:pPr>
        <w:pStyle w:val="Normal1"/>
        <w:spacing w:after="0"/>
        <w:contextualSpacing/>
        <w:jc w:val="both"/>
      </w:pPr>
    </w:p>
    <w:tbl>
      <w:tblPr>
        <w:tblStyle w:val="TableGrid"/>
        <w:tblW w:w="0" w:type="auto"/>
        <w:tblLook w:val="04A0" w:firstRow="1" w:lastRow="0" w:firstColumn="1" w:lastColumn="0" w:noHBand="0" w:noVBand="1"/>
      </w:tblPr>
      <w:tblGrid>
        <w:gridCol w:w="2129"/>
        <w:gridCol w:w="2129"/>
        <w:gridCol w:w="2129"/>
        <w:gridCol w:w="2129"/>
      </w:tblGrid>
      <w:tr w:rsidR="009E6B35" w:rsidRPr="00B95C6C" w14:paraId="5328755A" w14:textId="77777777" w:rsidTr="009E6B35">
        <w:tc>
          <w:tcPr>
            <w:tcW w:w="8516" w:type="dxa"/>
            <w:gridSpan w:val="4"/>
          </w:tcPr>
          <w:p w14:paraId="65ADAF3C" w14:textId="4AF269E0" w:rsidR="009E6B35" w:rsidRPr="009A5C33" w:rsidRDefault="009E6B35" w:rsidP="00A20EFB">
            <w:pPr>
              <w:jc w:val="both"/>
              <w:rPr>
                <w:b/>
                <w:sz w:val="22"/>
                <w:szCs w:val="22"/>
              </w:rPr>
            </w:pPr>
            <w:r w:rsidRPr="009A5C33">
              <w:rPr>
                <w:b/>
                <w:sz w:val="22"/>
                <w:szCs w:val="22"/>
              </w:rPr>
              <w:t xml:space="preserve">Specific Objective </w:t>
            </w:r>
            <w:r w:rsidR="00DF572F">
              <w:rPr>
                <w:b/>
                <w:sz w:val="22"/>
                <w:szCs w:val="22"/>
              </w:rPr>
              <w:t>7</w:t>
            </w:r>
            <w:r w:rsidRPr="009A5C33">
              <w:rPr>
                <w:b/>
                <w:sz w:val="22"/>
                <w:szCs w:val="22"/>
              </w:rPr>
              <w:t xml:space="preserve">: </w:t>
            </w:r>
            <w:r w:rsidR="008964AC" w:rsidRPr="009A5C33">
              <w:rPr>
                <w:b/>
                <w:sz w:val="22"/>
                <w:szCs w:val="22"/>
              </w:rPr>
              <w:t xml:space="preserve">Summary table </w:t>
            </w:r>
          </w:p>
        </w:tc>
      </w:tr>
      <w:tr w:rsidR="009E6B35" w:rsidRPr="00B95C6C" w14:paraId="4F3CC438" w14:textId="77777777" w:rsidTr="009E6B35">
        <w:tc>
          <w:tcPr>
            <w:tcW w:w="8516" w:type="dxa"/>
            <w:gridSpan w:val="4"/>
          </w:tcPr>
          <w:p w14:paraId="522ACE64" w14:textId="77777777" w:rsidR="009E6B35" w:rsidRPr="00B95C6C" w:rsidRDefault="009E6B35" w:rsidP="00A20EFB">
            <w:pPr>
              <w:jc w:val="both"/>
              <w:rPr>
                <w:b/>
                <w:color w:val="FF0000"/>
                <w:sz w:val="22"/>
                <w:szCs w:val="22"/>
              </w:rPr>
            </w:pPr>
            <w:r w:rsidRPr="00B95C6C">
              <w:rPr>
                <w:b/>
                <w:color w:val="FF0000"/>
                <w:sz w:val="22"/>
                <w:szCs w:val="22"/>
              </w:rPr>
              <w:t>Protection/child protection mechanism:</w:t>
            </w:r>
          </w:p>
        </w:tc>
      </w:tr>
      <w:tr w:rsidR="009E6B35" w:rsidRPr="00B95C6C" w14:paraId="7F6AD1C7" w14:textId="77777777" w:rsidTr="009E6B35">
        <w:tc>
          <w:tcPr>
            <w:tcW w:w="2129" w:type="dxa"/>
          </w:tcPr>
          <w:p w14:paraId="694075C7" w14:textId="77777777" w:rsidR="009E6B35" w:rsidRPr="00B95C6C" w:rsidRDefault="009E6B35" w:rsidP="00A20EFB">
            <w:pPr>
              <w:jc w:val="both"/>
              <w:rPr>
                <w:sz w:val="22"/>
                <w:szCs w:val="22"/>
              </w:rPr>
            </w:pPr>
            <w:r w:rsidRPr="00B95C6C">
              <w:rPr>
                <w:sz w:val="22"/>
                <w:szCs w:val="22"/>
              </w:rPr>
              <w:t>Mechanism</w:t>
            </w:r>
          </w:p>
        </w:tc>
        <w:tc>
          <w:tcPr>
            <w:tcW w:w="2129" w:type="dxa"/>
          </w:tcPr>
          <w:p w14:paraId="68F34089" w14:textId="77777777" w:rsidR="009E6B35" w:rsidRPr="00B95C6C" w:rsidRDefault="009E6B35" w:rsidP="00A20EFB">
            <w:pPr>
              <w:jc w:val="both"/>
              <w:rPr>
                <w:sz w:val="22"/>
                <w:szCs w:val="22"/>
              </w:rPr>
            </w:pPr>
            <w:r w:rsidRPr="00B95C6C">
              <w:rPr>
                <w:sz w:val="22"/>
                <w:szCs w:val="22"/>
              </w:rPr>
              <w:t>Target</w:t>
            </w:r>
          </w:p>
        </w:tc>
        <w:tc>
          <w:tcPr>
            <w:tcW w:w="2129" w:type="dxa"/>
          </w:tcPr>
          <w:p w14:paraId="56FFC187" w14:textId="77777777" w:rsidR="009E6B35" w:rsidRPr="00B95C6C" w:rsidRDefault="009E6B35" w:rsidP="00A20EFB">
            <w:pPr>
              <w:jc w:val="both"/>
              <w:rPr>
                <w:sz w:val="22"/>
                <w:szCs w:val="22"/>
              </w:rPr>
            </w:pPr>
            <w:r w:rsidRPr="00B95C6C">
              <w:rPr>
                <w:sz w:val="22"/>
                <w:szCs w:val="22"/>
              </w:rPr>
              <w:t>Timeline</w:t>
            </w:r>
          </w:p>
        </w:tc>
        <w:tc>
          <w:tcPr>
            <w:tcW w:w="2129" w:type="dxa"/>
          </w:tcPr>
          <w:p w14:paraId="2CB03841" w14:textId="77777777" w:rsidR="009E6B35" w:rsidRPr="00B95C6C" w:rsidRDefault="009E6B35" w:rsidP="00A20EFB">
            <w:pPr>
              <w:jc w:val="both"/>
              <w:rPr>
                <w:sz w:val="22"/>
                <w:szCs w:val="22"/>
              </w:rPr>
            </w:pPr>
            <w:r w:rsidRPr="00B95C6C">
              <w:rPr>
                <w:sz w:val="22"/>
                <w:szCs w:val="22"/>
              </w:rPr>
              <w:t>Actions/Allies</w:t>
            </w:r>
          </w:p>
        </w:tc>
      </w:tr>
      <w:tr w:rsidR="009E6B35" w:rsidRPr="00B95C6C" w14:paraId="1027A630" w14:textId="77777777" w:rsidTr="009E6B35">
        <w:tc>
          <w:tcPr>
            <w:tcW w:w="2129" w:type="dxa"/>
          </w:tcPr>
          <w:p w14:paraId="3FFEBA07" w14:textId="77777777" w:rsidR="009E6B35" w:rsidRPr="00B95C6C" w:rsidRDefault="009E6B35" w:rsidP="00A20EFB">
            <w:pPr>
              <w:rPr>
                <w:sz w:val="22"/>
                <w:szCs w:val="22"/>
              </w:rPr>
            </w:pPr>
            <w:r w:rsidRPr="00B95C6C">
              <w:rPr>
                <w:sz w:val="22"/>
                <w:szCs w:val="22"/>
              </w:rPr>
              <w:t xml:space="preserve">Inclusion of language welcoming the Guidelines in the CAAC annual report </w:t>
            </w:r>
          </w:p>
          <w:p w14:paraId="2A336667" w14:textId="77777777" w:rsidR="009E6B35" w:rsidRPr="00B95C6C" w:rsidRDefault="009E6B35" w:rsidP="00A20EFB">
            <w:pPr>
              <w:rPr>
                <w:sz w:val="22"/>
                <w:szCs w:val="22"/>
              </w:rPr>
            </w:pPr>
          </w:p>
        </w:tc>
        <w:tc>
          <w:tcPr>
            <w:tcW w:w="2129" w:type="dxa"/>
          </w:tcPr>
          <w:p w14:paraId="10EC3851" w14:textId="77777777" w:rsidR="009E6B35" w:rsidRPr="00B95C6C" w:rsidRDefault="009E6B35" w:rsidP="00A20EFB">
            <w:pPr>
              <w:rPr>
                <w:sz w:val="22"/>
                <w:szCs w:val="22"/>
              </w:rPr>
            </w:pPr>
            <w:r w:rsidRPr="00B95C6C">
              <w:rPr>
                <w:sz w:val="22"/>
                <w:szCs w:val="22"/>
              </w:rPr>
              <w:t>OSRSG CAAC, NY</w:t>
            </w:r>
          </w:p>
          <w:p w14:paraId="5139260F" w14:textId="77777777" w:rsidR="009E6B35" w:rsidRPr="00B95C6C" w:rsidRDefault="009E6B35" w:rsidP="00A20EFB">
            <w:pPr>
              <w:rPr>
                <w:sz w:val="22"/>
                <w:szCs w:val="22"/>
              </w:rPr>
            </w:pPr>
          </w:p>
        </w:tc>
        <w:tc>
          <w:tcPr>
            <w:tcW w:w="2129" w:type="dxa"/>
          </w:tcPr>
          <w:p w14:paraId="1875F4DA" w14:textId="77777777" w:rsidR="009E6B35" w:rsidRPr="00B95C6C" w:rsidRDefault="009E6B35" w:rsidP="00A20EFB">
            <w:pPr>
              <w:rPr>
                <w:sz w:val="22"/>
                <w:szCs w:val="22"/>
              </w:rPr>
            </w:pPr>
            <w:r w:rsidRPr="00B95C6C">
              <w:rPr>
                <w:sz w:val="22"/>
                <w:szCs w:val="22"/>
              </w:rPr>
              <w:t>Period for engagement: January-February 2015</w:t>
            </w:r>
          </w:p>
        </w:tc>
        <w:tc>
          <w:tcPr>
            <w:tcW w:w="2129" w:type="dxa"/>
          </w:tcPr>
          <w:p w14:paraId="003F1C27" w14:textId="77777777" w:rsidR="009E6B35" w:rsidRPr="00B95C6C" w:rsidRDefault="009E6B35" w:rsidP="00A20EFB">
            <w:pPr>
              <w:jc w:val="both"/>
              <w:rPr>
                <w:sz w:val="22"/>
                <w:szCs w:val="22"/>
              </w:rPr>
            </w:pPr>
            <w:r w:rsidRPr="00B95C6C">
              <w:rPr>
                <w:sz w:val="22"/>
                <w:szCs w:val="22"/>
              </w:rPr>
              <w:t>TBC</w:t>
            </w:r>
          </w:p>
        </w:tc>
      </w:tr>
      <w:tr w:rsidR="009E6B35" w:rsidRPr="00B95C6C" w14:paraId="3B8C886D" w14:textId="77777777" w:rsidTr="009E6B35">
        <w:tc>
          <w:tcPr>
            <w:tcW w:w="2129" w:type="dxa"/>
          </w:tcPr>
          <w:p w14:paraId="5C1F44BF" w14:textId="77777777" w:rsidR="009E6B35" w:rsidRPr="00B95C6C" w:rsidRDefault="009E6B35" w:rsidP="00A20EFB">
            <w:pPr>
              <w:rPr>
                <w:sz w:val="22"/>
                <w:szCs w:val="22"/>
              </w:rPr>
            </w:pPr>
            <w:r w:rsidRPr="00B95C6C">
              <w:rPr>
                <w:i/>
                <w:sz w:val="22"/>
                <w:szCs w:val="22"/>
              </w:rPr>
              <w:t>Guidelines</w:t>
            </w:r>
            <w:r w:rsidRPr="00B95C6C">
              <w:rPr>
                <w:sz w:val="22"/>
                <w:szCs w:val="22"/>
              </w:rPr>
              <w:t xml:space="preserve"> are included in the final operational strategy of the SRSG’s Guidance Note </w:t>
            </w:r>
          </w:p>
        </w:tc>
        <w:tc>
          <w:tcPr>
            <w:tcW w:w="2129" w:type="dxa"/>
          </w:tcPr>
          <w:p w14:paraId="369D3C45" w14:textId="77777777" w:rsidR="009E6B35" w:rsidRPr="00B95C6C" w:rsidRDefault="009E6B35" w:rsidP="00A20EFB">
            <w:pPr>
              <w:rPr>
                <w:sz w:val="22"/>
                <w:szCs w:val="22"/>
              </w:rPr>
            </w:pPr>
            <w:r w:rsidRPr="00B95C6C">
              <w:rPr>
                <w:sz w:val="22"/>
                <w:szCs w:val="22"/>
              </w:rPr>
              <w:t>OSRSG CAAC, NY</w:t>
            </w:r>
          </w:p>
          <w:p w14:paraId="491DE9CC" w14:textId="77777777" w:rsidR="009E6B35" w:rsidRPr="00B95C6C" w:rsidRDefault="009E6B35" w:rsidP="00A20EFB">
            <w:pPr>
              <w:rPr>
                <w:sz w:val="22"/>
                <w:szCs w:val="22"/>
              </w:rPr>
            </w:pPr>
          </w:p>
        </w:tc>
        <w:tc>
          <w:tcPr>
            <w:tcW w:w="2129" w:type="dxa"/>
          </w:tcPr>
          <w:p w14:paraId="1B9F22EF" w14:textId="77777777" w:rsidR="009E6B35" w:rsidRPr="00B95C6C" w:rsidRDefault="009E6B35" w:rsidP="00A20EFB">
            <w:pPr>
              <w:rPr>
                <w:sz w:val="22"/>
                <w:szCs w:val="22"/>
              </w:rPr>
            </w:pPr>
            <w:r w:rsidRPr="00B95C6C">
              <w:rPr>
                <w:sz w:val="22"/>
                <w:szCs w:val="22"/>
              </w:rPr>
              <w:t>Period for engagement:</w:t>
            </w:r>
          </w:p>
        </w:tc>
        <w:tc>
          <w:tcPr>
            <w:tcW w:w="2129" w:type="dxa"/>
          </w:tcPr>
          <w:p w14:paraId="430BECE9" w14:textId="77777777" w:rsidR="009E6B35" w:rsidRPr="00B95C6C" w:rsidRDefault="009E6B35" w:rsidP="00A20EFB">
            <w:pPr>
              <w:jc w:val="both"/>
              <w:rPr>
                <w:sz w:val="22"/>
                <w:szCs w:val="22"/>
              </w:rPr>
            </w:pPr>
          </w:p>
        </w:tc>
      </w:tr>
      <w:tr w:rsidR="009E6B35" w:rsidRPr="00B95C6C" w14:paraId="2BF3E4BB" w14:textId="77777777" w:rsidTr="009E6B35">
        <w:tc>
          <w:tcPr>
            <w:tcW w:w="2129" w:type="dxa"/>
          </w:tcPr>
          <w:p w14:paraId="195A9903" w14:textId="77777777" w:rsidR="009E6B35" w:rsidRPr="00B95C6C" w:rsidRDefault="009E6B35" w:rsidP="00A20EFB">
            <w:pPr>
              <w:rPr>
                <w:sz w:val="22"/>
                <w:szCs w:val="22"/>
              </w:rPr>
            </w:pPr>
            <w:r w:rsidRPr="00B95C6C">
              <w:rPr>
                <w:sz w:val="22"/>
                <w:szCs w:val="22"/>
              </w:rPr>
              <w:t>Inclusion of language welcoming the Guidelines in the POC annual report</w:t>
            </w:r>
          </w:p>
        </w:tc>
        <w:tc>
          <w:tcPr>
            <w:tcW w:w="2129" w:type="dxa"/>
          </w:tcPr>
          <w:p w14:paraId="43ACD2A5" w14:textId="77777777" w:rsidR="009E6B35" w:rsidRPr="00B95C6C" w:rsidRDefault="009E6B35" w:rsidP="00A20EFB">
            <w:pPr>
              <w:rPr>
                <w:sz w:val="22"/>
                <w:szCs w:val="22"/>
              </w:rPr>
            </w:pPr>
            <w:r w:rsidRPr="00B95C6C">
              <w:rPr>
                <w:sz w:val="22"/>
                <w:szCs w:val="22"/>
              </w:rPr>
              <w:t>OCHA, NY</w:t>
            </w:r>
          </w:p>
          <w:p w14:paraId="5819D384" w14:textId="77777777" w:rsidR="009E6B35" w:rsidRPr="00B95C6C" w:rsidRDefault="009E6B35" w:rsidP="00A20EFB">
            <w:pPr>
              <w:rPr>
                <w:sz w:val="22"/>
                <w:szCs w:val="22"/>
              </w:rPr>
            </w:pPr>
          </w:p>
        </w:tc>
        <w:tc>
          <w:tcPr>
            <w:tcW w:w="2129" w:type="dxa"/>
          </w:tcPr>
          <w:p w14:paraId="71D4450B" w14:textId="77777777" w:rsidR="009E6B35" w:rsidRPr="00B95C6C" w:rsidRDefault="009E6B35" w:rsidP="00A20EFB">
            <w:pPr>
              <w:rPr>
                <w:sz w:val="22"/>
                <w:szCs w:val="22"/>
              </w:rPr>
            </w:pPr>
            <w:r w:rsidRPr="00B95C6C">
              <w:rPr>
                <w:sz w:val="22"/>
                <w:szCs w:val="22"/>
              </w:rPr>
              <w:t xml:space="preserve">Period for engagement: January-February 2015 </w:t>
            </w:r>
          </w:p>
        </w:tc>
        <w:tc>
          <w:tcPr>
            <w:tcW w:w="2129" w:type="dxa"/>
          </w:tcPr>
          <w:p w14:paraId="7769ABE2" w14:textId="77777777" w:rsidR="009E6B35" w:rsidRPr="00B95C6C" w:rsidRDefault="009E6B35" w:rsidP="00A20EFB">
            <w:pPr>
              <w:jc w:val="both"/>
              <w:rPr>
                <w:sz w:val="22"/>
                <w:szCs w:val="22"/>
              </w:rPr>
            </w:pPr>
          </w:p>
        </w:tc>
      </w:tr>
      <w:tr w:rsidR="009E6B35" w:rsidRPr="00B95C6C" w14:paraId="0BCC351C" w14:textId="77777777" w:rsidTr="009E6B35">
        <w:tc>
          <w:tcPr>
            <w:tcW w:w="2129" w:type="dxa"/>
          </w:tcPr>
          <w:p w14:paraId="469A9580" w14:textId="77777777" w:rsidR="009E6B35" w:rsidRPr="00B95C6C" w:rsidRDefault="009E6B35" w:rsidP="00A20EFB">
            <w:pPr>
              <w:pStyle w:val="CommentText"/>
              <w:jc w:val="both"/>
              <w:rPr>
                <w:sz w:val="22"/>
                <w:szCs w:val="22"/>
              </w:rPr>
            </w:pPr>
            <w:r w:rsidRPr="00B95C6C">
              <w:rPr>
                <w:sz w:val="22"/>
                <w:szCs w:val="22"/>
              </w:rPr>
              <w:t xml:space="preserve">EU Guidelines on CAAC (implementation strategy) </w:t>
            </w:r>
          </w:p>
          <w:p w14:paraId="336638DA" w14:textId="77777777" w:rsidR="009E6B35" w:rsidRPr="00B95C6C" w:rsidRDefault="009E6B35" w:rsidP="00A20EFB">
            <w:pPr>
              <w:jc w:val="both"/>
              <w:rPr>
                <w:sz w:val="22"/>
                <w:szCs w:val="22"/>
              </w:rPr>
            </w:pPr>
          </w:p>
        </w:tc>
        <w:tc>
          <w:tcPr>
            <w:tcW w:w="2129" w:type="dxa"/>
          </w:tcPr>
          <w:p w14:paraId="739FC581" w14:textId="77777777" w:rsidR="009E6B35" w:rsidRPr="00B95C6C" w:rsidRDefault="009E6B35" w:rsidP="00A20EFB">
            <w:pPr>
              <w:rPr>
                <w:sz w:val="22"/>
                <w:szCs w:val="22"/>
              </w:rPr>
            </w:pPr>
            <w:r w:rsidRPr="00B95C6C">
              <w:rPr>
                <w:sz w:val="22"/>
                <w:szCs w:val="22"/>
              </w:rPr>
              <w:t>EU</w:t>
            </w:r>
          </w:p>
        </w:tc>
        <w:tc>
          <w:tcPr>
            <w:tcW w:w="2129" w:type="dxa"/>
          </w:tcPr>
          <w:p w14:paraId="5368DC8D" w14:textId="77777777" w:rsidR="009E6B35" w:rsidRPr="00B95C6C" w:rsidRDefault="009E6B35" w:rsidP="00A20EFB">
            <w:pPr>
              <w:rPr>
                <w:sz w:val="22"/>
                <w:szCs w:val="22"/>
              </w:rPr>
            </w:pPr>
            <w:r w:rsidRPr="00B95C6C">
              <w:rPr>
                <w:sz w:val="22"/>
                <w:szCs w:val="22"/>
              </w:rPr>
              <w:t>TBC</w:t>
            </w:r>
          </w:p>
        </w:tc>
        <w:tc>
          <w:tcPr>
            <w:tcW w:w="2129" w:type="dxa"/>
          </w:tcPr>
          <w:p w14:paraId="78E1DC45" w14:textId="77777777" w:rsidR="009E6B35" w:rsidRPr="00B95C6C" w:rsidRDefault="009E6B35" w:rsidP="00A20EFB">
            <w:pPr>
              <w:jc w:val="both"/>
              <w:rPr>
                <w:sz w:val="22"/>
                <w:szCs w:val="22"/>
              </w:rPr>
            </w:pPr>
          </w:p>
        </w:tc>
      </w:tr>
      <w:tr w:rsidR="009E6B35" w:rsidRPr="00B95C6C" w14:paraId="6AC1529A" w14:textId="77777777" w:rsidTr="009E6B35">
        <w:tc>
          <w:tcPr>
            <w:tcW w:w="2129" w:type="dxa"/>
          </w:tcPr>
          <w:p w14:paraId="341E3855" w14:textId="77777777" w:rsidR="009E6B35" w:rsidRPr="00B95C6C" w:rsidRDefault="009E6B35" w:rsidP="00A20EFB">
            <w:pPr>
              <w:pStyle w:val="CommentText"/>
              <w:jc w:val="both"/>
              <w:rPr>
                <w:sz w:val="22"/>
                <w:szCs w:val="22"/>
              </w:rPr>
            </w:pPr>
            <w:r w:rsidRPr="00B95C6C">
              <w:rPr>
                <w:sz w:val="22"/>
                <w:szCs w:val="22"/>
              </w:rPr>
              <w:t>EU’s ‘Checklist to help integrating the issue of children affected by armed conflict into Common Security and Defence Policy </w:t>
            </w:r>
          </w:p>
          <w:p w14:paraId="0663E176" w14:textId="77777777" w:rsidR="009E6B35" w:rsidRPr="00B95C6C" w:rsidRDefault="009E6B35" w:rsidP="00A20EFB">
            <w:pPr>
              <w:pStyle w:val="CommentText"/>
              <w:jc w:val="both"/>
              <w:rPr>
                <w:sz w:val="22"/>
                <w:szCs w:val="22"/>
              </w:rPr>
            </w:pPr>
            <w:r w:rsidRPr="00B95C6C">
              <w:rPr>
                <w:sz w:val="22"/>
                <w:szCs w:val="22"/>
              </w:rPr>
              <w:t>(CSDP</w:t>
            </w:r>
            <w:proofErr w:type="gramStart"/>
            <w:r w:rsidRPr="00B95C6C">
              <w:rPr>
                <w:sz w:val="22"/>
                <w:szCs w:val="22"/>
              </w:rPr>
              <w:t>)missions</w:t>
            </w:r>
            <w:proofErr w:type="gramEnd"/>
            <w:r w:rsidRPr="00B95C6C">
              <w:rPr>
                <w:sz w:val="22"/>
                <w:szCs w:val="22"/>
              </w:rPr>
              <w:t xml:space="preserve"> and operations’. </w:t>
            </w:r>
          </w:p>
        </w:tc>
        <w:tc>
          <w:tcPr>
            <w:tcW w:w="2129" w:type="dxa"/>
          </w:tcPr>
          <w:p w14:paraId="40CD1168" w14:textId="77777777" w:rsidR="009E6B35" w:rsidRPr="00B95C6C" w:rsidRDefault="009E6B35" w:rsidP="00A20EFB">
            <w:pPr>
              <w:rPr>
                <w:sz w:val="22"/>
                <w:szCs w:val="22"/>
              </w:rPr>
            </w:pPr>
            <w:r w:rsidRPr="00B95C6C">
              <w:rPr>
                <w:sz w:val="22"/>
                <w:szCs w:val="22"/>
              </w:rPr>
              <w:t>EU</w:t>
            </w:r>
          </w:p>
        </w:tc>
        <w:tc>
          <w:tcPr>
            <w:tcW w:w="2129" w:type="dxa"/>
          </w:tcPr>
          <w:p w14:paraId="16219CB3" w14:textId="77777777" w:rsidR="009E6B35" w:rsidRPr="00B95C6C" w:rsidRDefault="009E6B35" w:rsidP="00A20EFB">
            <w:pPr>
              <w:rPr>
                <w:sz w:val="22"/>
                <w:szCs w:val="22"/>
              </w:rPr>
            </w:pPr>
            <w:r w:rsidRPr="00B95C6C">
              <w:rPr>
                <w:sz w:val="22"/>
                <w:szCs w:val="22"/>
              </w:rPr>
              <w:t>Period for engagement: TBC</w:t>
            </w:r>
          </w:p>
        </w:tc>
        <w:tc>
          <w:tcPr>
            <w:tcW w:w="2129" w:type="dxa"/>
          </w:tcPr>
          <w:p w14:paraId="2285314E" w14:textId="77777777" w:rsidR="009E6B35" w:rsidRPr="00B95C6C" w:rsidRDefault="009E6B35" w:rsidP="00A20EFB">
            <w:pPr>
              <w:jc w:val="both"/>
              <w:rPr>
                <w:sz w:val="22"/>
                <w:szCs w:val="22"/>
              </w:rPr>
            </w:pPr>
          </w:p>
        </w:tc>
      </w:tr>
      <w:tr w:rsidR="009E6B35" w:rsidRPr="00B95C6C" w14:paraId="09C9FCE1" w14:textId="77777777" w:rsidTr="009E6B35">
        <w:tc>
          <w:tcPr>
            <w:tcW w:w="8516" w:type="dxa"/>
            <w:gridSpan w:val="4"/>
          </w:tcPr>
          <w:p w14:paraId="158AD2E9" w14:textId="77777777" w:rsidR="009E6B35" w:rsidRPr="00B95C6C" w:rsidRDefault="009E6B35" w:rsidP="00A20EFB">
            <w:pPr>
              <w:jc w:val="both"/>
              <w:rPr>
                <w:sz w:val="22"/>
                <w:szCs w:val="22"/>
              </w:rPr>
            </w:pPr>
            <w:r w:rsidRPr="00B95C6C">
              <w:rPr>
                <w:b/>
                <w:color w:val="FF0000"/>
                <w:sz w:val="22"/>
                <w:szCs w:val="22"/>
              </w:rPr>
              <w:t xml:space="preserve">Education Documents and Guidelines </w:t>
            </w:r>
          </w:p>
        </w:tc>
      </w:tr>
      <w:tr w:rsidR="009E6B35" w:rsidRPr="00B95C6C" w14:paraId="2E7702CA" w14:textId="77777777" w:rsidTr="009E6B35">
        <w:tc>
          <w:tcPr>
            <w:tcW w:w="2129" w:type="dxa"/>
          </w:tcPr>
          <w:p w14:paraId="24F6FB1D" w14:textId="77777777" w:rsidR="009E6B35" w:rsidRPr="00B95C6C" w:rsidRDefault="009E6B35" w:rsidP="00A20EFB">
            <w:pPr>
              <w:jc w:val="both"/>
              <w:rPr>
                <w:b/>
                <w:sz w:val="22"/>
                <w:szCs w:val="22"/>
              </w:rPr>
            </w:pPr>
            <w:r w:rsidRPr="00B95C6C">
              <w:rPr>
                <w:b/>
                <w:sz w:val="22"/>
                <w:szCs w:val="22"/>
              </w:rPr>
              <w:t>Mechanism</w:t>
            </w:r>
          </w:p>
        </w:tc>
        <w:tc>
          <w:tcPr>
            <w:tcW w:w="2129" w:type="dxa"/>
          </w:tcPr>
          <w:p w14:paraId="320C43EE" w14:textId="77777777" w:rsidR="009E6B35" w:rsidRPr="00B95C6C" w:rsidRDefault="009E6B35" w:rsidP="00A20EFB">
            <w:pPr>
              <w:jc w:val="both"/>
              <w:rPr>
                <w:b/>
                <w:sz w:val="22"/>
                <w:szCs w:val="22"/>
              </w:rPr>
            </w:pPr>
            <w:r w:rsidRPr="00B95C6C">
              <w:rPr>
                <w:b/>
                <w:sz w:val="22"/>
                <w:szCs w:val="22"/>
              </w:rPr>
              <w:t>Target</w:t>
            </w:r>
          </w:p>
        </w:tc>
        <w:tc>
          <w:tcPr>
            <w:tcW w:w="2129" w:type="dxa"/>
          </w:tcPr>
          <w:p w14:paraId="1B96C460" w14:textId="77777777" w:rsidR="009E6B35" w:rsidRPr="00B95C6C" w:rsidRDefault="009E6B35" w:rsidP="00A20EFB">
            <w:pPr>
              <w:jc w:val="both"/>
              <w:rPr>
                <w:b/>
                <w:sz w:val="22"/>
                <w:szCs w:val="22"/>
              </w:rPr>
            </w:pPr>
            <w:r w:rsidRPr="00B95C6C">
              <w:rPr>
                <w:b/>
                <w:sz w:val="22"/>
                <w:szCs w:val="22"/>
              </w:rPr>
              <w:t>Timeline</w:t>
            </w:r>
          </w:p>
        </w:tc>
        <w:tc>
          <w:tcPr>
            <w:tcW w:w="2129" w:type="dxa"/>
          </w:tcPr>
          <w:p w14:paraId="01F85239" w14:textId="77777777" w:rsidR="009E6B35" w:rsidRPr="00B95C6C" w:rsidRDefault="009E6B35" w:rsidP="00A20EFB">
            <w:pPr>
              <w:jc w:val="both"/>
              <w:rPr>
                <w:b/>
                <w:sz w:val="22"/>
                <w:szCs w:val="22"/>
              </w:rPr>
            </w:pPr>
            <w:r w:rsidRPr="00B95C6C">
              <w:rPr>
                <w:b/>
                <w:sz w:val="22"/>
                <w:szCs w:val="22"/>
              </w:rPr>
              <w:t>Allies</w:t>
            </w:r>
          </w:p>
        </w:tc>
      </w:tr>
      <w:tr w:rsidR="009E6B35" w:rsidRPr="00B95C6C" w14:paraId="62446980" w14:textId="77777777" w:rsidTr="009E6B35">
        <w:tc>
          <w:tcPr>
            <w:tcW w:w="2129" w:type="dxa"/>
          </w:tcPr>
          <w:p w14:paraId="26B2CE10" w14:textId="77777777" w:rsidR="009E6B35" w:rsidRPr="00B95C6C" w:rsidRDefault="009E6B35" w:rsidP="00A20EFB">
            <w:pPr>
              <w:rPr>
                <w:sz w:val="22"/>
                <w:szCs w:val="22"/>
              </w:rPr>
            </w:pPr>
            <w:r w:rsidRPr="00B95C6C">
              <w:rPr>
                <w:sz w:val="22"/>
                <w:szCs w:val="22"/>
              </w:rPr>
              <w:t xml:space="preserve">Inclusion in Global </w:t>
            </w:r>
            <w:r w:rsidRPr="00B95C6C">
              <w:rPr>
                <w:sz w:val="22"/>
                <w:szCs w:val="22"/>
              </w:rPr>
              <w:lastRenderedPageBreak/>
              <w:t>Partnership for Education  Guidelines for Education Sector Plan Preparation and Appraisal</w:t>
            </w:r>
          </w:p>
        </w:tc>
        <w:tc>
          <w:tcPr>
            <w:tcW w:w="2129" w:type="dxa"/>
          </w:tcPr>
          <w:p w14:paraId="3497FBA7" w14:textId="77777777" w:rsidR="009E6B35" w:rsidRPr="00B95C6C" w:rsidRDefault="009E6B35" w:rsidP="00A20EFB">
            <w:pPr>
              <w:jc w:val="both"/>
              <w:rPr>
                <w:sz w:val="22"/>
                <w:szCs w:val="22"/>
              </w:rPr>
            </w:pPr>
            <w:r w:rsidRPr="00B95C6C">
              <w:rPr>
                <w:sz w:val="22"/>
                <w:szCs w:val="22"/>
              </w:rPr>
              <w:lastRenderedPageBreak/>
              <w:t xml:space="preserve">GPE </w:t>
            </w:r>
          </w:p>
        </w:tc>
        <w:tc>
          <w:tcPr>
            <w:tcW w:w="2129" w:type="dxa"/>
          </w:tcPr>
          <w:p w14:paraId="459E0637" w14:textId="77777777" w:rsidR="009E6B35" w:rsidRPr="00B95C6C" w:rsidRDefault="009E6B35" w:rsidP="00A20EFB">
            <w:pPr>
              <w:rPr>
                <w:sz w:val="22"/>
                <w:szCs w:val="22"/>
              </w:rPr>
            </w:pPr>
            <w:r w:rsidRPr="00B95C6C">
              <w:rPr>
                <w:sz w:val="22"/>
                <w:szCs w:val="22"/>
              </w:rPr>
              <w:t xml:space="preserve">Period for </w:t>
            </w:r>
            <w:r w:rsidRPr="00B95C6C">
              <w:rPr>
                <w:sz w:val="22"/>
                <w:szCs w:val="22"/>
              </w:rPr>
              <w:lastRenderedPageBreak/>
              <w:t xml:space="preserve">engagement: Check with Diya as previously discussed with GPE. </w:t>
            </w:r>
          </w:p>
        </w:tc>
        <w:tc>
          <w:tcPr>
            <w:tcW w:w="2129" w:type="dxa"/>
          </w:tcPr>
          <w:p w14:paraId="5A614FEF" w14:textId="77777777" w:rsidR="009E6B35" w:rsidRPr="00B95C6C" w:rsidRDefault="009E6B35" w:rsidP="00A20EFB">
            <w:pPr>
              <w:jc w:val="both"/>
              <w:rPr>
                <w:sz w:val="22"/>
                <w:szCs w:val="22"/>
              </w:rPr>
            </w:pPr>
          </w:p>
        </w:tc>
      </w:tr>
      <w:tr w:rsidR="009E6B35" w:rsidRPr="00B95C6C" w14:paraId="7C5F387E" w14:textId="77777777" w:rsidTr="009E6B35">
        <w:tc>
          <w:tcPr>
            <w:tcW w:w="2129" w:type="dxa"/>
          </w:tcPr>
          <w:p w14:paraId="75903FFE" w14:textId="77777777" w:rsidR="009E6B35" w:rsidRPr="00FB037C" w:rsidRDefault="009E6B35" w:rsidP="00A20EFB">
            <w:pPr>
              <w:jc w:val="both"/>
              <w:rPr>
                <w:i/>
                <w:sz w:val="22"/>
                <w:szCs w:val="22"/>
              </w:rPr>
            </w:pPr>
            <w:r w:rsidRPr="00FB037C">
              <w:rPr>
                <w:rFonts w:cs="Times New Roman"/>
                <w:i/>
                <w:sz w:val="22"/>
                <w:szCs w:val="22"/>
              </w:rPr>
              <w:lastRenderedPageBreak/>
              <w:t xml:space="preserve">2015 GMR: </w:t>
            </w:r>
            <w:r w:rsidRPr="00FB037C">
              <w:rPr>
                <w:rFonts w:eastAsia="Times New Roman" w:cs="Arial"/>
                <w:i/>
                <w:sz w:val="22"/>
                <w:szCs w:val="22"/>
              </w:rPr>
              <w:t>What</w:t>
            </w:r>
            <w:r w:rsidRPr="00FB037C">
              <w:rPr>
                <w:rFonts w:cs="Times New Roman"/>
                <w:i/>
                <w:color w:val="FF0000"/>
                <w:sz w:val="22"/>
                <w:szCs w:val="22"/>
              </w:rPr>
              <w:t xml:space="preserve"> </w:t>
            </w:r>
            <w:r w:rsidRPr="00FB037C">
              <w:rPr>
                <w:rFonts w:eastAsia="Times New Roman" w:cs="Arial"/>
                <w:i/>
                <w:sz w:val="22"/>
                <w:szCs w:val="22"/>
              </w:rPr>
              <w:t>did we achieve?</w:t>
            </w:r>
          </w:p>
        </w:tc>
        <w:tc>
          <w:tcPr>
            <w:tcW w:w="2129" w:type="dxa"/>
          </w:tcPr>
          <w:p w14:paraId="39F3F413" w14:textId="77777777" w:rsidR="009E6B35" w:rsidRPr="00B95C6C" w:rsidRDefault="009E6B35" w:rsidP="00A20EFB">
            <w:pPr>
              <w:rPr>
                <w:sz w:val="22"/>
                <w:szCs w:val="22"/>
              </w:rPr>
            </w:pPr>
            <w:r w:rsidRPr="00B95C6C">
              <w:rPr>
                <w:sz w:val="22"/>
                <w:szCs w:val="22"/>
              </w:rPr>
              <w:t xml:space="preserve">Global Monitoring Report Team </w:t>
            </w:r>
          </w:p>
        </w:tc>
        <w:tc>
          <w:tcPr>
            <w:tcW w:w="2129" w:type="dxa"/>
          </w:tcPr>
          <w:p w14:paraId="5EE76008" w14:textId="77777777" w:rsidR="009E6B35" w:rsidRPr="00B95C6C" w:rsidRDefault="009E6B35" w:rsidP="00A20EFB">
            <w:pPr>
              <w:jc w:val="both"/>
              <w:rPr>
                <w:sz w:val="22"/>
                <w:szCs w:val="22"/>
              </w:rPr>
            </w:pPr>
            <w:r w:rsidRPr="00B95C6C">
              <w:rPr>
                <w:sz w:val="22"/>
                <w:szCs w:val="22"/>
              </w:rPr>
              <w:t xml:space="preserve">Period for engagement: TBC - Secretariat leading </w:t>
            </w:r>
          </w:p>
        </w:tc>
        <w:tc>
          <w:tcPr>
            <w:tcW w:w="2129" w:type="dxa"/>
          </w:tcPr>
          <w:p w14:paraId="6D5BF8A8" w14:textId="77777777" w:rsidR="009E6B35" w:rsidRPr="00B95C6C" w:rsidRDefault="009E6B35" w:rsidP="00A20EFB">
            <w:pPr>
              <w:jc w:val="both"/>
              <w:rPr>
                <w:sz w:val="22"/>
                <w:szCs w:val="22"/>
              </w:rPr>
            </w:pPr>
          </w:p>
        </w:tc>
      </w:tr>
      <w:tr w:rsidR="009E6B35" w:rsidRPr="00B95C6C" w14:paraId="277D20CB" w14:textId="77777777" w:rsidTr="009E6B35">
        <w:tc>
          <w:tcPr>
            <w:tcW w:w="2129" w:type="dxa"/>
          </w:tcPr>
          <w:p w14:paraId="6C073687" w14:textId="77777777" w:rsidR="009E6B35" w:rsidRPr="00B95C6C" w:rsidRDefault="009E6B35" w:rsidP="00A20EFB">
            <w:pPr>
              <w:rPr>
                <w:sz w:val="22"/>
                <w:szCs w:val="22"/>
              </w:rPr>
            </w:pPr>
            <w:r w:rsidRPr="00B95C6C">
              <w:rPr>
                <w:rFonts w:cs="Times New Roman"/>
                <w:sz w:val="22"/>
                <w:szCs w:val="22"/>
              </w:rPr>
              <w:t xml:space="preserve">Action plan from the World Education Forum 2015 </w:t>
            </w:r>
          </w:p>
        </w:tc>
        <w:tc>
          <w:tcPr>
            <w:tcW w:w="2129" w:type="dxa"/>
          </w:tcPr>
          <w:p w14:paraId="6BC3C384" w14:textId="77777777" w:rsidR="009E6B35" w:rsidRPr="00B95C6C" w:rsidRDefault="009E6B35" w:rsidP="00A20EFB">
            <w:pPr>
              <w:rPr>
                <w:sz w:val="22"/>
                <w:szCs w:val="22"/>
              </w:rPr>
            </w:pPr>
            <w:proofErr w:type="spellStart"/>
            <w:r w:rsidRPr="00B95C6C">
              <w:rPr>
                <w:sz w:val="22"/>
                <w:szCs w:val="22"/>
              </w:rPr>
              <w:t>MoE</w:t>
            </w:r>
            <w:proofErr w:type="spellEnd"/>
            <w:r w:rsidRPr="00B95C6C">
              <w:rPr>
                <w:sz w:val="22"/>
                <w:szCs w:val="22"/>
              </w:rPr>
              <w:t xml:space="preserve"> of Category 1 countries, UNESCO Member States, High level advocates </w:t>
            </w:r>
          </w:p>
        </w:tc>
        <w:tc>
          <w:tcPr>
            <w:tcW w:w="2129" w:type="dxa"/>
          </w:tcPr>
          <w:p w14:paraId="50307D23" w14:textId="77777777" w:rsidR="009E6B35" w:rsidRPr="00B95C6C" w:rsidRDefault="009E6B35" w:rsidP="00A20EFB">
            <w:pPr>
              <w:rPr>
                <w:sz w:val="22"/>
                <w:szCs w:val="22"/>
              </w:rPr>
            </w:pPr>
            <w:r w:rsidRPr="00B95C6C">
              <w:rPr>
                <w:sz w:val="22"/>
                <w:szCs w:val="22"/>
              </w:rPr>
              <w:t>Period for engagement: Between Jan- April</w:t>
            </w:r>
          </w:p>
        </w:tc>
        <w:tc>
          <w:tcPr>
            <w:tcW w:w="2129" w:type="dxa"/>
          </w:tcPr>
          <w:p w14:paraId="6F3D8DFD" w14:textId="77777777" w:rsidR="009E6B35" w:rsidRPr="00B95C6C" w:rsidRDefault="009E6B35" w:rsidP="00A20EFB">
            <w:pPr>
              <w:jc w:val="both"/>
              <w:rPr>
                <w:sz w:val="22"/>
                <w:szCs w:val="22"/>
              </w:rPr>
            </w:pPr>
            <w:r w:rsidRPr="00B95C6C">
              <w:rPr>
                <w:sz w:val="22"/>
                <w:szCs w:val="22"/>
              </w:rPr>
              <w:t>Norway Chair of EFA Steering Committee</w:t>
            </w:r>
          </w:p>
        </w:tc>
      </w:tr>
    </w:tbl>
    <w:p w14:paraId="646F5ED6" w14:textId="77777777" w:rsidR="009A5C33" w:rsidRDefault="009A5C33" w:rsidP="00A20EFB">
      <w:pPr>
        <w:pStyle w:val="Heading2"/>
        <w:spacing w:before="0"/>
      </w:pPr>
    </w:p>
    <w:p w14:paraId="128C6E4E" w14:textId="16CD333D" w:rsidR="00B95C6C" w:rsidRDefault="00AA4CA8" w:rsidP="009E23BE">
      <w:pPr>
        <w:pStyle w:val="Heading2"/>
      </w:pPr>
      <w:bookmarkStart w:id="26" w:name="_Toc412485705"/>
      <w:r>
        <w:t xml:space="preserve">4.2: </w:t>
      </w:r>
      <w:r w:rsidR="00FC4270">
        <w:t xml:space="preserve">Building </w:t>
      </w:r>
      <w:r>
        <w:t xml:space="preserve">Momentum and Support with </w:t>
      </w:r>
      <w:r w:rsidR="00FC4270" w:rsidRPr="00B95C6C">
        <w:t xml:space="preserve">Key </w:t>
      </w:r>
      <w:r w:rsidR="00FC4270">
        <w:t xml:space="preserve">Global and Regional </w:t>
      </w:r>
      <w:r w:rsidR="00FC4270" w:rsidRPr="00B95C6C">
        <w:t>Stakeholders</w:t>
      </w:r>
      <w:bookmarkEnd w:id="26"/>
    </w:p>
    <w:p w14:paraId="54E86A9D" w14:textId="77777777" w:rsidR="00FC4270" w:rsidRPr="00FC4270" w:rsidRDefault="00FC4270" w:rsidP="00A20EFB">
      <w:pPr>
        <w:spacing w:after="0"/>
      </w:pPr>
    </w:p>
    <w:p w14:paraId="5F6F0AFD" w14:textId="77777777" w:rsidR="009E23BE" w:rsidRPr="009E23BE" w:rsidRDefault="009E23BE" w:rsidP="009E23BE">
      <w:pPr>
        <w:rPr>
          <w:b/>
          <w:u w:val="single"/>
        </w:rPr>
      </w:pPr>
      <w:r w:rsidRPr="009E23BE">
        <w:rPr>
          <w:b/>
          <w:u w:val="single"/>
        </w:rPr>
        <w:t>High Level Advocates</w:t>
      </w:r>
    </w:p>
    <w:p w14:paraId="50A929CA" w14:textId="5C7A9655" w:rsidR="009E23BE" w:rsidRPr="00B95C6C" w:rsidRDefault="009E23BE" w:rsidP="009E23BE">
      <w:pPr>
        <w:jc w:val="both"/>
        <w:rPr>
          <w:sz w:val="22"/>
          <w:szCs w:val="22"/>
        </w:rPr>
      </w:pPr>
      <w:r w:rsidRPr="00B95C6C">
        <w:rPr>
          <w:sz w:val="22"/>
          <w:szCs w:val="22"/>
        </w:rPr>
        <w:t xml:space="preserve">GCPEA Membership brings together a range of civil society and UN agencies. </w:t>
      </w:r>
      <w:r>
        <w:rPr>
          <w:sz w:val="22"/>
          <w:szCs w:val="22"/>
        </w:rPr>
        <w:t>E</w:t>
      </w:r>
      <w:r w:rsidRPr="00B95C6C">
        <w:rPr>
          <w:sz w:val="22"/>
          <w:szCs w:val="22"/>
        </w:rPr>
        <w:t xml:space="preserve">ngagement of senior figures from these organisations can help enhance awareness of the </w:t>
      </w:r>
      <w:r w:rsidRPr="00B95C6C">
        <w:rPr>
          <w:i/>
          <w:sz w:val="22"/>
          <w:szCs w:val="22"/>
        </w:rPr>
        <w:t>Guidelines</w:t>
      </w:r>
      <w:r w:rsidRPr="00B95C6C">
        <w:rPr>
          <w:sz w:val="22"/>
          <w:szCs w:val="22"/>
        </w:rPr>
        <w:t xml:space="preserve"> and influence op</w:t>
      </w:r>
      <w:r>
        <w:rPr>
          <w:sz w:val="22"/>
          <w:szCs w:val="22"/>
        </w:rPr>
        <w:t xml:space="preserve">inion of key decisions makers. </w:t>
      </w:r>
      <w:r w:rsidRPr="00B95C6C">
        <w:rPr>
          <w:sz w:val="22"/>
          <w:szCs w:val="22"/>
        </w:rPr>
        <w:t xml:space="preserve">This can be done through the referring of the Safe Schools Declaration and the </w:t>
      </w:r>
      <w:r w:rsidRPr="00B95C6C">
        <w:rPr>
          <w:i/>
          <w:sz w:val="22"/>
          <w:szCs w:val="22"/>
        </w:rPr>
        <w:t>Guidelines</w:t>
      </w:r>
      <w:r w:rsidRPr="00B95C6C">
        <w:rPr>
          <w:sz w:val="22"/>
          <w:szCs w:val="22"/>
        </w:rPr>
        <w:t xml:space="preserve"> as appropriate at high-level events or in bi-laterals if possible.</w:t>
      </w:r>
    </w:p>
    <w:p w14:paraId="36BE8548" w14:textId="587347B4" w:rsidR="009E23BE" w:rsidRPr="009E23BE" w:rsidRDefault="009E23BE" w:rsidP="00A9649E">
      <w:pPr>
        <w:pStyle w:val="ListParagraph"/>
        <w:numPr>
          <w:ilvl w:val="0"/>
          <w:numId w:val="24"/>
        </w:numPr>
        <w:jc w:val="both"/>
        <w:rPr>
          <w:rFonts w:eastAsia="Times New Roman" w:cs="Times New Roman"/>
          <w:sz w:val="22"/>
          <w:szCs w:val="22"/>
          <w:lang w:eastAsia="en-US"/>
        </w:rPr>
      </w:pPr>
      <w:r w:rsidRPr="00B95C6C">
        <w:rPr>
          <w:sz w:val="22"/>
          <w:szCs w:val="22"/>
        </w:rPr>
        <w:t xml:space="preserve">Through </w:t>
      </w:r>
      <w:r w:rsidRPr="00B95C6C">
        <w:rPr>
          <w:i/>
          <w:sz w:val="22"/>
          <w:szCs w:val="22"/>
        </w:rPr>
        <w:t>PEIC - Protect Education Insecurity and Conflict</w:t>
      </w:r>
      <w:r w:rsidRPr="00B95C6C">
        <w:rPr>
          <w:sz w:val="22"/>
          <w:szCs w:val="22"/>
        </w:rPr>
        <w:t xml:space="preserve">  approach </w:t>
      </w:r>
      <w:r w:rsidRPr="00B95C6C">
        <w:rPr>
          <w:rFonts w:eastAsia="Times New Roman" w:cs="Times New Roman"/>
          <w:b/>
          <w:color w:val="000000"/>
          <w:sz w:val="22"/>
          <w:szCs w:val="22"/>
          <w:shd w:val="clear" w:color="auto" w:fill="FFFFFF"/>
          <w:lang w:eastAsia="en-US"/>
        </w:rPr>
        <w:t xml:space="preserve">Her Highness </w:t>
      </w:r>
      <w:proofErr w:type="spellStart"/>
      <w:r w:rsidRPr="00B95C6C">
        <w:rPr>
          <w:rFonts w:eastAsia="Times New Roman" w:cs="Times New Roman"/>
          <w:b/>
          <w:color w:val="000000"/>
          <w:sz w:val="22"/>
          <w:szCs w:val="22"/>
          <w:shd w:val="clear" w:color="auto" w:fill="FFFFFF"/>
          <w:lang w:eastAsia="en-US"/>
        </w:rPr>
        <w:t>Sheikha</w:t>
      </w:r>
      <w:proofErr w:type="spellEnd"/>
      <w:r w:rsidRPr="00B95C6C">
        <w:rPr>
          <w:rFonts w:eastAsia="Times New Roman" w:cs="Times New Roman"/>
          <w:b/>
          <w:color w:val="000000"/>
          <w:sz w:val="22"/>
          <w:szCs w:val="22"/>
          <w:shd w:val="clear" w:color="auto" w:fill="FFFFFF"/>
          <w:lang w:eastAsia="en-US"/>
        </w:rPr>
        <w:t xml:space="preserve"> </w:t>
      </w:r>
      <w:proofErr w:type="spellStart"/>
      <w:r w:rsidRPr="00B95C6C">
        <w:rPr>
          <w:rFonts w:eastAsia="Times New Roman" w:cs="Times New Roman"/>
          <w:b/>
          <w:color w:val="000000"/>
          <w:sz w:val="22"/>
          <w:szCs w:val="22"/>
          <w:shd w:val="clear" w:color="auto" w:fill="FFFFFF"/>
          <w:lang w:eastAsia="en-US"/>
        </w:rPr>
        <w:t>Moza</w:t>
      </w:r>
      <w:proofErr w:type="spellEnd"/>
      <w:r w:rsidRPr="00B95C6C">
        <w:rPr>
          <w:rFonts w:eastAsia="Times New Roman" w:cs="Times New Roman"/>
          <w:b/>
          <w:color w:val="000000"/>
          <w:sz w:val="22"/>
          <w:szCs w:val="22"/>
          <w:shd w:val="clear" w:color="auto" w:fill="FFFFFF"/>
          <w:lang w:eastAsia="en-US"/>
        </w:rPr>
        <w:t xml:space="preserve"> bint Nasser </w:t>
      </w:r>
      <w:r w:rsidRPr="00B95C6C">
        <w:rPr>
          <w:rFonts w:eastAsia="Times New Roman" w:cs="Times New Roman"/>
          <w:color w:val="000000"/>
          <w:sz w:val="22"/>
          <w:szCs w:val="22"/>
          <w:shd w:val="clear" w:color="auto" w:fill="FFFFFF"/>
          <w:lang w:eastAsia="en-US"/>
        </w:rPr>
        <w:t xml:space="preserve">to reference Safe Schools Declaration and </w:t>
      </w:r>
      <w:r w:rsidRPr="00B95C6C">
        <w:rPr>
          <w:rFonts w:eastAsia="Times New Roman" w:cs="Times New Roman"/>
          <w:i/>
          <w:color w:val="000000"/>
          <w:sz w:val="22"/>
          <w:szCs w:val="22"/>
          <w:shd w:val="clear" w:color="auto" w:fill="FFFFFF"/>
          <w:lang w:eastAsia="en-US"/>
        </w:rPr>
        <w:t xml:space="preserve">Guidelines </w:t>
      </w:r>
      <w:r w:rsidRPr="00B95C6C">
        <w:rPr>
          <w:rFonts w:eastAsia="Times New Roman" w:cs="Times New Roman"/>
          <w:color w:val="000000"/>
          <w:sz w:val="22"/>
          <w:szCs w:val="22"/>
          <w:shd w:val="clear" w:color="auto" w:fill="FFFFFF"/>
          <w:lang w:eastAsia="en-US"/>
        </w:rPr>
        <w:t>in a speech to global education community.</w:t>
      </w:r>
    </w:p>
    <w:p w14:paraId="460BDD8B" w14:textId="77777777" w:rsidR="009E23BE" w:rsidRPr="00B95C6C" w:rsidRDefault="009E23BE" w:rsidP="00A9649E">
      <w:pPr>
        <w:pStyle w:val="ListParagraph"/>
        <w:numPr>
          <w:ilvl w:val="0"/>
          <w:numId w:val="24"/>
        </w:numPr>
        <w:jc w:val="both"/>
        <w:rPr>
          <w:sz w:val="22"/>
          <w:szCs w:val="22"/>
        </w:rPr>
      </w:pPr>
      <w:r w:rsidRPr="00B95C6C">
        <w:rPr>
          <w:sz w:val="22"/>
          <w:szCs w:val="22"/>
        </w:rPr>
        <w:t xml:space="preserve">Through A World at School, </w:t>
      </w:r>
      <w:r w:rsidRPr="00B95C6C">
        <w:rPr>
          <w:b/>
          <w:sz w:val="22"/>
          <w:szCs w:val="22"/>
        </w:rPr>
        <w:t>UN Special Envoy Gordon Brown</w:t>
      </w:r>
      <w:r w:rsidRPr="00B95C6C">
        <w:rPr>
          <w:sz w:val="22"/>
          <w:szCs w:val="22"/>
        </w:rPr>
        <w:t xml:space="preserve"> will speak at two events being organised in April in Washington and New York and will highlight the issue of MUSU and the </w:t>
      </w:r>
      <w:r w:rsidRPr="00B95C6C">
        <w:rPr>
          <w:i/>
          <w:sz w:val="22"/>
          <w:szCs w:val="22"/>
        </w:rPr>
        <w:t>Guidelines.</w:t>
      </w:r>
      <w:r w:rsidRPr="00B95C6C">
        <w:rPr>
          <w:sz w:val="22"/>
          <w:szCs w:val="22"/>
        </w:rPr>
        <w:t xml:space="preserve"> </w:t>
      </w:r>
    </w:p>
    <w:p w14:paraId="706DA55E" w14:textId="0402B78F" w:rsidR="009E6B35" w:rsidRDefault="009E23BE" w:rsidP="00A9649E">
      <w:pPr>
        <w:pStyle w:val="ListParagraph"/>
        <w:numPr>
          <w:ilvl w:val="0"/>
          <w:numId w:val="24"/>
        </w:numPr>
        <w:rPr>
          <w:sz w:val="22"/>
          <w:szCs w:val="22"/>
        </w:rPr>
      </w:pPr>
      <w:r w:rsidRPr="00B95C6C">
        <w:rPr>
          <w:sz w:val="22"/>
          <w:szCs w:val="22"/>
        </w:rPr>
        <w:t xml:space="preserve">Through UN agencies that are members of GCPEA mobilise the Director General of UNESCO, </w:t>
      </w:r>
      <w:r w:rsidRPr="00B95C6C">
        <w:rPr>
          <w:sz w:val="22"/>
          <w:szCs w:val="22"/>
          <w:shd w:val="clear" w:color="auto" w:fill="FFFFFF"/>
        </w:rPr>
        <w:t>Executive Director of the United Nations Children's Fund (</w:t>
      </w:r>
      <w:r w:rsidRPr="00B95C6C">
        <w:rPr>
          <w:rStyle w:val="Emphasis"/>
          <w:rFonts w:eastAsia="Times New Roman" w:cs="Arial"/>
          <w:bCs/>
          <w:i w:val="0"/>
          <w:iCs w:val="0"/>
          <w:sz w:val="22"/>
          <w:szCs w:val="22"/>
          <w:shd w:val="clear" w:color="auto" w:fill="FFFFFF"/>
        </w:rPr>
        <w:t>UNICEF</w:t>
      </w:r>
      <w:r w:rsidRPr="00B95C6C">
        <w:rPr>
          <w:sz w:val="22"/>
          <w:szCs w:val="22"/>
          <w:shd w:val="clear" w:color="auto" w:fill="FFFFFF"/>
        </w:rPr>
        <w:t>).</w:t>
      </w:r>
      <w:r w:rsidRPr="00B95C6C">
        <w:rPr>
          <w:rStyle w:val="hilite"/>
          <w:rFonts w:eastAsia="Times New Roman" w:cs="Arial"/>
          <w:sz w:val="22"/>
          <w:szCs w:val="22"/>
          <w:bdr w:val="none" w:sz="0" w:space="0" w:color="auto" w:frame="1"/>
        </w:rPr>
        <w:t xml:space="preserve"> UN High</w:t>
      </w:r>
      <w:r w:rsidRPr="00B95C6C">
        <w:rPr>
          <w:rStyle w:val="apple-converted-space"/>
          <w:rFonts w:eastAsia="Times New Roman" w:cs="Arial"/>
          <w:sz w:val="22"/>
          <w:szCs w:val="22"/>
        </w:rPr>
        <w:t> </w:t>
      </w:r>
      <w:r w:rsidRPr="00B95C6C">
        <w:rPr>
          <w:sz w:val="22"/>
          <w:szCs w:val="22"/>
        </w:rPr>
        <w:t xml:space="preserve">Commissioner for Refugees </w:t>
      </w:r>
      <w:proofErr w:type="spellStart"/>
      <w:r w:rsidRPr="00B95C6C">
        <w:rPr>
          <w:sz w:val="22"/>
          <w:szCs w:val="22"/>
        </w:rPr>
        <w:t>António</w:t>
      </w:r>
      <w:proofErr w:type="spellEnd"/>
      <w:r w:rsidRPr="00B95C6C">
        <w:rPr>
          <w:sz w:val="22"/>
          <w:szCs w:val="22"/>
        </w:rPr>
        <w:t xml:space="preserve"> </w:t>
      </w:r>
      <w:proofErr w:type="spellStart"/>
      <w:r w:rsidRPr="00B95C6C">
        <w:rPr>
          <w:sz w:val="22"/>
          <w:szCs w:val="22"/>
        </w:rPr>
        <w:t>Guterres</w:t>
      </w:r>
      <w:proofErr w:type="spellEnd"/>
      <w:r w:rsidRPr="00B95C6C">
        <w:rPr>
          <w:sz w:val="22"/>
          <w:szCs w:val="22"/>
        </w:rPr>
        <w:t xml:space="preserve"> to make statements and draft joint letter encouraging support for safe Schools Declaration, this could be done with Norway</w:t>
      </w:r>
      <w:r>
        <w:rPr>
          <w:sz w:val="22"/>
          <w:szCs w:val="22"/>
        </w:rPr>
        <w:t>.</w:t>
      </w:r>
    </w:p>
    <w:p w14:paraId="2ACE3831" w14:textId="77777777" w:rsidR="009E23BE" w:rsidRPr="009E23BE" w:rsidRDefault="009E23BE" w:rsidP="009E23BE">
      <w:pPr>
        <w:rPr>
          <w:b/>
          <w:u w:val="single"/>
        </w:rPr>
      </w:pPr>
      <w:r w:rsidRPr="009E23BE">
        <w:rPr>
          <w:b/>
          <w:u w:val="single"/>
        </w:rPr>
        <w:t>Other International Organisations</w:t>
      </w:r>
    </w:p>
    <w:p w14:paraId="396E0421" w14:textId="77777777" w:rsidR="009E6B35" w:rsidRPr="00B95C6C" w:rsidRDefault="009E6B35" w:rsidP="00A20EFB">
      <w:pPr>
        <w:spacing w:after="0"/>
        <w:rPr>
          <w:sz w:val="22"/>
          <w:szCs w:val="22"/>
        </w:rPr>
      </w:pPr>
    </w:p>
    <w:tbl>
      <w:tblPr>
        <w:tblStyle w:val="TableGrid"/>
        <w:tblW w:w="0" w:type="auto"/>
        <w:tblLook w:val="04A0" w:firstRow="1" w:lastRow="0" w:firstColumn="1" w:lastColumn="0" w:noHBand="0" w:noVBand="1"/>
      </w:tblPr>
      <w:tblGrid>
        <w:gridCol w:w="8516"/>
      </w:tblGrid>
      <w:tr w:rsidR="009E6B35" w:rsidRPr="00B95C6C" w14:paraId="70FE14C3" w14:textId="77777777" w:rsidTr="009E6B35">
        <w:tc>
          <w:tcPr>
            <w:tcW w:w="8516" w:type="dxa"/>
          </w:tcPr>
          <w:p w14:paraId="2B71DDCB" w14:textId="77777777" w:rsidR="009E6B35" w:rsidRPr="00B95C6C" w:rsidRDefault="009E6B35" w:rsidP="00A20EFB">
            <w:pPr>
              <w:jc w:val="both"/>
              <w:rPr>
                <w:b/>
                <w:color w:val="000000"/>
                <w:sz w:val="22"/>
                <w:szCs w:val="22"/>
              </w:rPr>
            </w:pPr>
            <w:r w:rsidRPr="00B95C6C">
              <w:rPr>
                <w:b/>
                <w:color w:val="000000"/>
                <w:sz w:val="22"/>
                <w:szCs w:val="22"/>
              </w:rPr>
              <w:t>Organisation: Global Partnership for Education (GPE)</w:t>
            </w:r>
          </w:p>
          <w:p w14:paraId="4A567B67" w14:textId="77777777" w:rsidR="009E6B35" w:rsidRPr="00B95C6C" w:rsidRDefault="009E6B35" w:rsidP="00A20EFB">
            <w:pPr>
              <w:rPr>
                <w:sz w:val="22"/>
                <w:szCs w:val="22"/>
              </w:rPr>
            </w:pPr>
            <w:r w:rsidRPr="00B95C6C">
              <w:rPr>
                <w:b/>
                <w:sz w:val="22"/>
                <w:szCs w:val="22"/>
              </w:rPr>
              <w:t xml:space="preserve">Summary: GPE </w:t>
            </w:r>
            <w:r w:rsidRPr="00B95C6C">
              <w:rPr>
                <w:sz w:val="22"/>
                <w:szCs w:val="22"/>
              </w:rPr>
              <w:t xml:space="preserve">is a highly influential multilateral donor agency for education, working in partnership with countries to support the development of education sector plans. </w:t>
            </w:r>
            <w:r w:rsidRPr="00B95C6C">
              <w:rPr>
                <w:b/>
                <w:sz w:val="22"/>
                <w:szCs w:val="22"/>
              </w:rPr>
              <w:t>Objectives:</w:t>
            </w:r>
            <w:r w:rsidRPr="00B95C6C">
              <w:rPr>
                <w:sz w:val="22"/>
                <w:szCs w:val="22"/>
              </w:rPr>
              <w:t xml:space="preserve"> </w:t>
            </w:r>
          </w:p>
          <w:p w14:paraId="72C90345" w14:textId="77777777" w:rsidR="009E6B35" w:rsidRPr="00B95C6C" w:rsidRDefault="009E6B35" w:rsidP="00A9649E">
            <w:pPr>
              <w:pStyle w:val="ListParagraph"/>
              <w:numPr>
                <w:ilvl w:val="0"/>
                <w:numId w:val="3"/>
              </w:numPr>
              <w:rPr>
                <w:rFonts w:eastAsia="Times New Roman" w:cs="Times New Roman"/>
                <w:sz w:val="22"/>
                <w:szCs w:val="22"/>
              </w:rPr>
            </w:pPr>
            <w:r w:rsidRPr="00B95C6C">
              <w:rPr>
                <w:sz w:val="22"/>
                <w:szCs w:val="22"/>
              </w:rPr>
              <w:t xml:space="preserve">GPE endorse the Safe Schools Declaration through their high level representatives </w:t>
            </w:r>
            <w:r w:rsidRPr="00B95C6C">
              <w:rPr>
                <w:rFonts w:eastAsia="Times New Roman" w:cs="Times New Roman"/>
                <w:sz w:val="22"/>
                <w:szCs w:val="22"/>
                <w:shd w:val="clear" w:color="auto" w:fill="FFFFFF"/>
                <w:lang w:eastAsia="en-US"/>
              </w:rPr>
              <w:t xml:space="preserve">Julia Gillard, Chair of the Board of Directors of the Global Partnership and </w:t>
            </w:r>
            <w:r w:rsidRPr="00B95C6C">
              <w:rPr>
                <w:rFonts w:eastAsia="Times New Roman" w:cs="Times New Roman"/>
                <w:sz w:val="22"/>
                <w:szCs w:val="22"/>
              </w:rPr>
              <w:t xml:space="preserve">Alice Albright, </w:t>
            </w:r>
            <w:r w:rsidRPr="00B95C6C">
              <w:rPr>
                <w:sz w:val="22"/>
                <w:szCs w:val="22"/>
              </w:rPr>
              <w:t>Chief Executive Office</w:t>
            </w:r>
          </w:p>
          <w:p w14:paraId="248F5AA4" w14:textId="77777777" w:rsidR="009E6B35" w:rsidRPr="00B95C6C" w:rsidRDefault="009E6B35" w:rsidP="00A9649E">
            <w:pPr>
              <w:pStyle w:val="ListParagraph"/>
              <w:numPr>
                <w:ilvl w:val="0"/>
                <w:numId w:val="3"/>
              </w:numPr>
              <w:rPr>
                <w:rFonts w:eastAsia="Times New Roman" w:cs="Times New Roman"/>
                <w:sz w:val="22"/>
                <w:szCs w:val="22"/>
              </w:rPr>
            </w:pPr>
            <w:r w:rsidRPr="00B95C6C">
              <w:rPr>
                <w:sz w:val="22"/>
                <w:szCs w:val="22"/>
              </w:rPr>
              <w:t xml:space="preserve">GPE reference </w:t>
            </w:r>
            <w:r w:rsidRPr="00B95C6C">
              <w:rPr>
                <w:i/>
                <w:sz w:val="22"/>
                <w:szCs w:val="22"/>
              </w:rPr>
              <w:t xml:space="preserve">Guidelines </w:t>
            </w:r>
            <w:r w:rsidRPr="00B95C6C">
              <w:rPr>
                <w:sz w:val="22"/>
                <w:szCs w:val="22"/>
              </w:rPr>
              <w:t>in their work where appropriate including with their country partners</w:t>
            </w:r>
          </w:p>
          <w:p w14:paraId="2A9500B3" w14:textId="77777777" w:rsidR="009E6B35" w:rsidRPr="00B95C6C" w:rsidRDefault="009E6B35" w:rsidP="00A9649E">
            <w:pPr>
              <w:pStyle w:val="ListParagraph"/>
              <w:numPr>
                <w:ilvl w:val="0"/>
                <w:numId w:val="3"/>
              </w:numPr>
              <w:rPr>
                <w:rFonts w:eastAsia="Times New Roman" w:cs="Times New Roman"/>
                <w:sz w:val="22"/>
                <w:szCs w:val="22"/>
              </w:rPr>
            </w:pPr>
            <w:r w:rsidRPr="00B95C6C">
              <w:rPr>
                <w:sz w:val="22"/>
                <w:szCs w:val="22"/>
              </w:rPr>
              <w:t>GPE facilitates links with Local Education Groups at country level to support the Guidelines and where relevant participate in GCPEA’s contextualisation workshop</w:t>
            </w:r>
          </w:p>
          <w:p w14:paraId="31489291" w14:textId="77777777" w:rsidR="009E6B35" w:rsidRPr="00B95C6C" w:rsidRDefault="009E6B35" w:rsidP="00A20EFB">
            <w:pPr>
              <w:rPr>
                <w:rFonts w:eastAsia="Times New Roman" w:cs="Times New Roman"/>
                <w:b/>
                <w:sz w:val="22"/>
                <w:szCs w:val="22"/>
              </w:rPr>
            </w:pPr>
            <w:r w:rsidRPr="00B95C6C">
              <w:rPr>
                <w:rFonts w:eastAsia="Times New Roman" w:cs="Times New Roman"/>
                <w:b/>
                <w:sz w:val="22"/>
                <w:szCs w:val="22"/>
              </w:rPr>
              <w:lastRenderedPageBreak/>
              <w:t xml:space="preserve">Possible Approach: </w:t>
            </w:r>
          </w:p>
          <w:p w14:paraId="482B9FB7" w14:textId="77777777" w:rsidR="009E6B35" w:rsidRPr="00B95C6C" w:rsidRDefault="009E6B35" w:rsidP="00A20EFB">
            <w:pPr>
              <w:rPr>
                <w:rFonts w:eastAsia="Times New Roman" w:cs="Times New Roman"/>
                <w:sz w:val="22"/>
                <w:szCs w:val="22"/>
              </w:rPr>
            </w:pPr>
            <w:r w:rsidRPr="00B95C6C">
              <w:rPr>
                <w:rFonts w:eastAsia="Times New Roman" w:cs="Times New Roman"/>
                <w:sz w:val="22"/>
                <w:szCs w:val="22"/>
              </w:rPr>
              <w:t xml:space="preserve">Secretariat to re-ignite previous discussions and agreements  </w:t>
            </w:r>
          </w:p>
          <w:p w14:paraId="4C9AFD8E" w14:textId="77777777" w:rsidR="009E6B35" w:rsidRPr="00B95C6C" w:rsidRDefault="009E6B35" w:rsidP="00A20EFB">
            <w:pPr>
              <w:jc w:val="both"/>
              <w:rPr>
                <w:sz w:val="22"/>
                <w:szCs w:val="22"/>
              </w:rPr>
            </w:pPr>
          </w:p>
        </w:tc>
      </w:tr>
      <w:tr w:rsidR="009E6B35" w:rsidRPr="00B95C6C" w14:paraId="3D3B9AF2" w14:textId="77777777" w:rsidTr="009E6B35">
        <w:tc>
          <w:tcPr>
            <w:tcW w:w="8516" w:type="dxa"/>
          </w:tcPr>
          <w:p w14:paraId="67E83373" w14:textId="77777777" w:rsidR="009E6B35" w:rsidRPr="00B95C6C" w:rsidRDefault="009E6B35" w:rsidP="00A20EFB">
            <w:pPr>
              <w:jc w:val="both"/>
              <w:rPr>
                <w:b/>
                <w:sz w:val="22"/>
                <w:szCs w:val="22"/>
              </w:rPr>
            </w:pPr>
            <w:r w:rsidRPr="00B95C6C">
              <w:rPr>
                <w:b/>
                <w:sz w:val="22"/>
                <w:szCs w:val="22"/>
              </w:rPr>
              <w:lastRenderedPageBreak/>
              <w:t>Organisation: Global Education First Initiative (GEFI)</w:t>
            </w:r>
          </w:p>
          <w:p w14:paraId="520AA5E8" w14:textId="77777777" w:rsidR="009E6B35" w:rsidRPr="00B95C6C" w:rsidRDefault="009E6B35" w:rsidP="00A20EFB">
            <w:pPr>
              <w:jc w:val="both"/>
              <w:rPr>
                <w:sz w:val="22"/>
                <w:szCs w:val="22"/>
              </w:rPr>
            </w:pPr>
          </w:p>
          <w:p w14:paraId="7D8B9B08" w14:textId="77777777" w:rsidR="009E6B35" w:rsidRPr="00B95C6C" w:rsidRDefault="009E6B35" w:rsidP="00A20EFB">
            <w:pPr>
              <w:jc w:val="both"/>
              <w:rPr>
                <w:sz w:val="22"/>
                <w:szCs w:val="22"/>
              </w:rPr>
            </w:pPr>
            <w:r w:rsidRPr="00B95C6C">
              <w:rPr>
                <w:b/>
                <w:sz w:val="22"/>
                <w:szCs w:val="22"/>
              </w:rPr>
              <w:t>Summary:</w:t>
            </w:r>
            <w:r w:rsidRPr="00B95C6C">
              <w:rPr>
                <w:sz w:val="22"/>
                <w:szCs w:val="22"/>
              </w:rPr>
              <w:t xml:space="preserve"> GEFI is the UNSG’s global initiative designed to give increased momentum to education in the run up to 2015 EFA deadline and through to the post-2015 development agenda. It has highlighted the issue of education in humanitarian contexts and Education Cannot Wait developed from this initiative.</w:t>
            </w:r>
          </w:p>
          <w:p w14:paraId="6FC7755E" w14:textId="77777777" w:rsidR="009E6B35" w:rsidRPr="00B95C6C" w:rsidRDefault="009E6B35" w:rsidP="00A20EFB">
            <w:pPr>
              <w:jc w:val="both"/>
              <w:rPr>
                <w:sz w:val="22"/>
                <w:szCs w:val="22"/>
              </w:rPr>
            </w:pPr>
          </w:p>
          <w:p w14:paraId="51EE93E7" w14:textId="77777777" w:rsidR="009E6B35" w:rsidRPr="00B95C6C" w:rsidRDefault="009E6B35" w:rsidP="00A20EFB">
            <w:pPr>
              <w:jc w:val="both"/>
              <w:rPr>
                <w:sz w:val="22"/>
                <w:szCs w:val="22"/>
              </w:rPr>
            </w:pPr>
            <w:r w:rsidRPr="00B95C6C">
              <w:rPr>
                <w:b/>
                <w:sz w:val="22"/>
                <w:szCs w:val="22"/>
              </w:rPr>
              <w:t>Objective:</w:t>
            </w:r>
            <w:r w:rsidRPr="00B95C6C">
              <w:rPr>
                <w:sz w:val="22"/>
                <w:szCs w:val="22"/>
              </w:rPr>
              <w:t xml:space="preserve"> </w:t>
            </w:r>
          </w:p>
          <w:p w14:paraId="48ACEF64" w14:textId="77777777" w:rsidR="009E6B35" w:rsidRPr="00B95C6C" w:rsidRDefault="009E6B35" w:rsidP="00A9649E">
            <w:pPr>
              <w:pStyle w:val="ListParagraph"/>
              <w:numPr>
                <w:ilvl w:val="0"/>
                <w:numId w:val="6"/>
              </w:numPr>
              <w:jc w:val="both"/>
              <w:rPr>
                <w:sz w:val="22"/>
                <w:szCs w:val="22"/>
              </w:rPr>
            </w:pPr>
            <w:r w:rsidRPr="00B95C6C">
              <w:rPr>
                <w:sz w:val="22"/>
                <w:szCs w:val="22"/>
              </w:rPr>
              <w:t>To secure supportive statement from SG for the Safe Schools Declaration</w:t>
            </w:r>
          </w:p>
          <w:p w14:paraId="2D68AD71" w14:textId="6CF05FFD" w:rsidR="009E6B35" w:rsidRPr="00B95C6C" w:rsidRDefault="009E6B35" w:rsidP="00A9649E">
            <w:pPr>
              <w:pStyle w:val="ListParagraph"/>
              <w:numPr>
                <w:ilvl w:val="0"/>
                <w:numId w:val="6"/>
              </w:numPr>
              <w:jc w:val="both"/>
              <w:rPr>
                <w:sz w:val="22"/>
                <w:szCs w:val="22"/>
              </w:rPr>
            </w:pPr>
            <w:r w:rsidRPr="00B95C6C">
              <w:rPr>
                <w:sz w:val="22"/>
                <w:szCs w:val="22"/>
              </w:rPr>
              <w:t>Mob</w:t>
            </w:r>
            <w:r w:rsidR="00A7616A" w:rsidRPr="00B95C6C">
              <w:rPr>
                <w:sz w:val="22"/>
                <w:szCs w:val="22"/>
              </w:rPr>
              <w:t>i</w:t>
            </w:r>
            <w:r w:rsidRPr="00B95C6C">
              <w:rPr>
                <w:sz w:val="22"/>
                <w:szCs w:val="22"/>
              </w:rPr>
              <w:t xml:space="preserve">lise youth network to support advocacy in the run up to June conference.  </w:t>
            </w:r>
          </w:p>
          <w:p w14:paraId="23D280EC" w14:textId="77777777" w:rsidR="009E6B35" w:rsidRPr="00B95C6C" w:rsidRDefault="009E6B35" w:rsidP="00A20EFB">
            <w:pPr>
              <w:jc w:val="both"/>
              <w:rPr>
                <w:sz w:val="22"/>
                <w:szCs w:val="22"/>
              </w:rPr>
            </w:pPr>
          </w:p>
          <w:p w14:paraId="5DA8B267" w14:textId="77777777" w:rsidR="009E6B35" w:rsidRPr="00B95C6C" w:rsidRDefault="009E6B35" w:rsidP="00A20EFB">
            <w:pPr>
              <w:jc w:val="both"/>
              <w:rPr>
                <w:sz w:val="22"/>
                <w:szCs w:val="22"/>
              </w:rPr>
            </w:pPr>
            <w:r w:rsidRPr="00B95C6C">
              <w:rPr>
                <w:b/>
                <w:sz w:val="22"/>
                <w:szCs w:val="22"/>
              </w:rPr>
              <w:t>Possible approaches:</w:t>
            </w:r>
            <w:r w:rsidRPr="00B95C6C">
              <w:rPr>
                <w:sz w:val="22"/>
                <w:szCs w:val="22"/>
              </w:rPr>
              <w:t xml:space="preserve"> </w:t>
            </w:r>
          </w:p>
          <w:p w14:paraId="2BD0FD00" w14:textId="77777777" w:rsidR="009E6B35" w:rsidRPr="00B95C6C" w:rsidRDefault="009E6B35" w:rsidP="00A9649E">
            <w:pPr>
              <w:pStyle w:val="ListParagraph"/>
              <w:numPr>
                <w:ilvl w:val="0"/>
                <w:numId w:val="5"/>
              </w:numPr>
              <w:jc w:val="both"/>
              <w:rPr>
                <w:sz w:val="22"/>
                <w:szCs w:val="22"/>
              </w:rPr>
            </w:pPr>
            <w:r w:rsidRPr="00B95C6C">
              <w:rPr>
                <w:sz w:val="22"/>
                <w:szCs w:val="22"/>
              </w:rPr>
              <w:t xml:space="preserve">Highlight statements by UN Secretary General in support of </w:t>
            </w:r>
            <w:r w:rsidRPr="00B95C6C">
              <w:rPr>
                <w:i/>
                <w:sz w:val="22"/>
                <w:szCs w:val="22"/>
              </w:rPr>
              <w:t>Guidelines</w:t>
            </w:r>
          </w:p>
          <w:p w14:paraId="0B86ABD7" w14:textId="77777777" w:rsidR="009E6B35" w:rsidRPr="00B95C6C" w:rsidRDefault="009E6B35" w:rsidP="00A9649E">
            <w:pPr>
              <w:pStyle w:val="ListParagraph"/>
              <w:numPr>
                <w:ilvl w:val="0"/>
                <w:numId w:val="5"/>
              </w:numPr>
              <w:jc w:val="both"/>
              <w:rPr>
                <w:sz w:val="22"/>
                <w:szCs w:val="22"/>
              </w:rPr>
            </w:pPr>
            <w:r w:rsidRPr="00B95C6C">
              <w:rPr>
                <w:sz w:val="22"/>
                <w:szCs w:val="22"/>
              </w:rPr>
              <w:t xml:space="preserve">Mobilise GEFI Youth Ambassadors? </w:t>
            </w:r>
            <w:proofErr w:type="spellStart"/>
            <w:r w:rsidRPr="00B95C6C">
              <w:rPr>
                <w:sz w:val="22"/>
                <w:szCs w:val="22"/>
              </w:rPr>
              <w:t>Chernor</w:t>
            </w:r>
            <w:proofErr w:type="spellEnd"/>
            <w:r w:rsidRPr="00B95C6C">
              <w:rPr>
                <w:sz w:val="22"/>
                <w:szCs w:val="22"/>
              </w:rPr>
              <w:t xml:space="preserve"> Bah, Chair (or former chair) of GEFI Youth Advocacy Group and also works for World at School. </w:t>
            </w:r>
          </w:p>
          <w:p w14:paraId="487B0B7B" w14:textId="77777777" w:rsidR="009E6B35" w:rsidRPr="00B95C6C" w:rsidRDefault="009E6B35" w:rsidP="00A9649E">
            <w:pPr>
              <w:pStyle w:val="ListParagraph"/>
              <w:numPr>
                <w:ilvl w:val="0"/>
                <w:numId w:val="5"/>
              </w:numPr>
              <w:jc w:val="both"/>
              <w:rPr>
                <w:sz w:val="22"/>
                <w:szCs w:val="22"/>
              </w:rPr>
            </w:pPr>
            <w:r w:rsidRPr="00B95C6C">
              <w:rPr>
                <w:sz w:val="22"/>
                <w:szCs w:val="22"/>
              </w:rPr>
              <w:t>Link through Education Cannot Wait</w:t>
            </w:r>
          </w:p>
          <w:p w14:paraId="33744640" w14:textId="77777777" w:rsidR="009E6B35" w:rsidRPr="00B95C6C" w:rsidRDefault="009E6B35" w:rsidP="00A9649E">
            <w:pPr>
              <w:pStyle w:val="ListParagraph"/>
              <w:numPr>
                <w:ilvl w:val="0"/>
                <w:numId w:val="5"/>
              </w:numPr>
              <w:jc w:val="both"/>
              <w:rPr>
                <w:sz w:val="22"/>
                <w:szCs w:val="22"/>
              </w:rPr>
            </w:pPr>
            <w:r w:rsidRPr="00B95C6C">
              <w:rPr>
                <w:sz w:val="22"/>
                <w:szCs w:val="22"/>
              </w:rPr>
              <w:t>UNESCO house Secretariat</w:t>
            </w:r>
          </w:p>
          <w:p w14:paraId="0EB7D38E" w14:textId="77777777" w:rsidR="009E6B35" w:rsidRPr="00B95C6C" w:rsidRDefault="009E6B35" w:rsidP="00A20EFB">
            <w:pPr>
              <w:jc w:val="both"/>
              <w:rPr>
                <w:sz w:val="22"/>
                <w:szCs w:val="22"/>
              </w:rPr>
            </w:pPr>
          </w:p>
        </w:tc>
      </w:tr>
      <w:tr w:rsidR="00FE3D27" w:rsidRPr="00B95C6C" w14:paraId="27169CE0" w14:textId="77777777" w:rsidTr="009E6B35">
        <w:tc>
          <w:tcPr>
            <w:tcW w:w="8516" w:type="dxa"/>
          </w:tcPr>
          <w:p w14:paraId="091D845A" w14:textId="05B5C46E" w:rsidR="00FE3D27" w:rsidRPr="00B95C6C" w:rsidRDefault="00FE3D27" w:rsidP="00FE3D27">
            <w:pPr>
              <w:jc w:val="both"/>
              <w:rPr>
                <w:b/>
                <w:sz w:val="22"/>
                <w:szCs w:val="22"/>
              </w:rPr>
            </w:pPr>
            <w:r w:rsidRPr="00B95C6C">
              <w:rPr>
                <w:b/>
                <w:sz w:val="22"/>
                <w:szCs w:val="22"/>
              </w:rPr>
              <w:t xml:space="preserve">Organisation: </w:t>
            </w:r>
            <w:r w:rsidR="00BE060A">
              <w:rPr>
                <w:b/>
                <w:sz w:val="22"/>
                <w:szCs w:val="22"/>
              </w:rPr>
              <w:t>African</w:t>
            </w:r>
            <w:r w:rsidRPr="00B95C6C">
              <w:rPr>
                <w:b/>
                <w:sz w:val="22"/>
                <w:szCs w:val="22"/>
              </w:rPr>
              <w:t xml:space="preserve"> Union:</w:t>
            </w:r>
          </w:p>
          <w:p w14:paraId="4C6B231F" w14:textId="77777777" w:rsidR="00FE3D27" w:rsidRPr="00B95C6C" w:rsidRDefault="00FE3D27" w:rsidP="00FE3D27">
            <w:pPr>
              <w:jc w:val="both"/>
              <w:rPr>
                <w:b/>
                <w:sz w:val="22"/>
                <w:szCs w:val="22"/>
              </w:rPr>
            </w:pPr>
          </w:p>
          <w:p w14:paraId="176D190D" w14:textId="175BDEF1" w:rsidR="00FE3D27" w:rsidRPr="00BE060A" w:rsidRDefault="00FE3D27" w:rsidP="00BE060A">
            <w:pPr>
              <w:jc w:val="both"/>
              <w:rPr>
                <w:sz w:val="22"/>
                <w:szCs w:val="22"/>
              </w:rPr>
            </w:pPr>
            <w:r w:rsidRPr="00B95C6C">
              <w:rPr>
                <w:b/>
                <w:sz w:val="22"/>
                <w:szCs w:val="22"/>
              </w:rPr>
              <w:t xml:space="preserve">Summary: </w:t>
            </w:r>
            <w:r w:rsidR="00BE060A" w:rsidRPr="00BE060A">
              <w:rPr>
                <w:sz w:val="22"/>
                <w:szCs w:val="22"/>
              </w:rPr>
              <w:t xml:space="preserve">AU deploys troops in conflict settings where military use of schools has been documented in Africa. AU contingents also include troops from countries where military use of schools has been documented. </w:t>
            </w:r>
          </w:p>
          <w:p w14:paraId="3F11B072" w14:textId="77777777" w:rsidR="00BE060A" w:rsidRDefault="00BE060A" w:rsidP="00BE060A">
            <w:pPr>
              <w:jc w:val="both"/>
              <w:rPr>
                <w:b/>
                <w:sz w:val="22"/>
                <w:szCs w:val="22"/>
              </w:rPr>
            </w:pPr>
          </w:p>
          <w:p w14:paraId="24AAD2D1" w14:textId="486667C1" w:rsidR="00BE060A" w:rsidRDefault="00BE060A" w:rsidP="00BE060A">
            <w:pPr>
              <w:jc w:val="both"/>
              <w:rPr>
                <w:b/>
                <w:sz w:val="22"/>
                <w:szCs w:val="22"/>
              </w:rPr>
            </w:pPr>
            <w:r>
              <w:rPr>
                <w:b/>
                <w:sz w:val="22"/>
                <w:szCs w:val="22"/>
              </w:rPr>
              <w:t>Objectives:</w:t>
            </w:r>
          </w:p>
          <w:p w14:paraId="5A580C2B" w14:textId="4EE6D1D0" w:rsidR="00BE060A" w:rsidRDefault="00BE060A" w:rsidP="00A9649E">
            <w:pPr>
              <w:pStyle w:val="ListParagraph"/>
              <w:numPr>
                <w:ilvl w:val="0"/>
                <w:numId w:val="26"/>
              </w:numPr>
              <w:jc w:val="both"/>
              <w:rPr>
                <w:sz w:val="22"/>
                <w:szCs w:val="22"/>
              </w:rPr>
            </w:pPr>
            <w:r w:rsidRPr="00BE060A">
              <w:rPr>
                <w:sz w:val="22"/>
                <w:szCs w:val="22"/>
              </w:rPr>
              <w:t>Inclusion of the Guidelines in relevant training manuals, policy and operational frameworks.</w:t>
            </w:r>
          </w:p>
          <w:p w14:paraId="7C783119" w14:textId="0B89F0E5" w:rsidR="00BE060A" w:rsidRPr="00BE060A" w:rsidRDefault="00BE060A" w:rsidP="00A9649E">
            <w:pPr>
              <w:pStyle w:val="ListParagraph"/>
              <w:numPr>
                <w:ilvl w:val="0"/>
                <w:numId w:val="26"/>
              </w:numPr>
              <w:jc w:val="both"/>
              <w:rPr>
                <w:sz w:val="22"/>
                <w:szCs w:val="22"/>
              </w:rPr>
            </w:pPr>
            <w:r>
              <w:rPr>
                <w:sz w:val="22"/>
                <w:szCs w:val="22"/>
              </w:rPr>
              <w:t>Increase support for and political engagement around the Guidelines among affected countries in Africa.</w:t>
            </w:r>
          </w:p>
          <w:p w14:paraId="4F66CE61" w14:textId="77777777" w:rsidR="00FE3D27" w:rsidRPr="00B95C6C" w:rsidRDefault="00FE3D27" w:rsidP="00FE3D27">
            <w:pPr>
              <w:jc w:val="both"/>
              <w:rPr>
                <w:sz w:val="22"/>
                <w:szCs w:val="22"/>
              </w:rPr>
            </w:pPr>
          </w:p>
          <w:p w14:paraId="36084418" w14:textId="52F7259A" w:rsidR="00FE3D27" w:rsidRPr="00B95C6C" w:rsidRDefault="00FE3D27" w:rsidP="00FE3D27">
            <w:pPr>
              <w:jc w:val="both"/>
              <w:rPr>
                <w:b/>
                <w:sz w:val="22"/>
                <w:szCs w:val="22"/>
              </w:rPr>
            </w:pPr>
            <w:r w:rsidRPr="00B95C6C">
              <w:rPr>
                <w:b/>
                <w:sz w:val="22"/>
                <w:szCs w:val="22"/>
              </w:rPr>
              <w:t>Possible approach:</w:t>
            </w:r>
            <w:r w:rsidR="00BE060A">
              <w:rPr>
                <w:b/>
                <w:sz w:val="22"/>
                <w:szCs w:val="22"/>
              </w:rPr>
              <w:t xml:space="preserve"> </w:t>
            </w:r>
            <w:r w:rsidR="00BE060A" w:rsidRPr="00BE060A">
              <w:rPr>
                <w:sz w:val="22"/>
                <w:szCs w:val="22"/>
              </w:rPr>
              <w:t xml:space="preserve">build on existing dialogue </w:t>
            </w:r>
            <w:r w:rsidR="00BE060A">
              <w:rPr>
                <w:sz w:val="22"/>
                <w:szCs w:val="22"/>
              </w:rPr>
              <w:t xml:space="preserve">and activities promoted in the context of the </w:t>
            </w:r>
            <w:r w:rsidR="00BE060A" w:rsidRPr="00BE060A">
              <w:rPr>
                <w:sz w:val="22"/>
                <w:szCs w:val="22"/>
              </w:rPr>
              <w:t>SRSG-CAAC</w:t>
            </w:r>
            <w:r w:rsidR="00BE060A">
              <w:rPr>
                <w:sz w:val="22"/>
                <w:szCs w:val="22"/>
              </w:rPr>
              <w:t xml:space="preserve">’s agreement with the AU.  </w:t>
            </w:r>
          </w:p>
          <w:p w14:paraId="4A292253" w14:textId="30C98C22" w:rsidR="00FE3D27" w:rsidRPr="00B95C6C" w:rsidRDefault="00FE3D27" w:rsidP="00FE3D27">
            <w:pPr>
              <w:jc w:val="both"/>
              <w:rPr>
                <w:b/>
                <w:sz w:val="22"/>
                <w:szCs w:val="22"/>
              </w:rPr>
            </w:pPr>
          </w:p>
        </w:tc>
      </w:tr>
      <w:tr w:rsidR="009E6B35" w:rsidRPr="00B95C6C" w14:paraId="265EFFA6" w14:textId="77777777" w:rsidTr="009E6B35">
        <w:tc>
          <w:tcPr>
            <w:tcW w:w="8516" w:type="dxa"/>
          </w:tcPr>
          <w:p w14:paraId="68F1EE49" w14:textId="77777777" w:rsidR="009E6B35" w:rsidRPr="00B95C6C" w:rsidRDefault="009E6B35" w:rsidP="00A20EFB">
            <w:pPr>
              <w:jc w:val="both"/>
              <w:rPr>
                <w:b/>
                <w:sz w:val="22"/>
                <w:szCs w:val="22"/>
                <w:u w:val="single"/>
              </w:rPr>
            </w:pPr>
            <w:r w:rsidRPr="00B95C6C">
              <w:rPr>
                <w:b/>
                <w:sz w:val="22"/>
                <w:szCs w:val="22"/>
              </w:rPr>
              <w:t>Organisation</w:t>
            </w:r>
            <w:r w:rsidRPr="009E23BE">
              <w:rPr>
                <w:b/>
                <w:sz w:val="22"/>
                <w:szCs w:val="22"/>
              </w:rPr>
              <w:t xml:space="preserve">: </w:t>
            </w:r>
            <w:r w:rsidRPr="009E23BE" w:rsidDel="00A93EBF">
              <w:rPr>
                <w:b/>
                <w:sz w:val="22"/>
                <w:szCs w:val="22"/>
              </w:rPr>
              <w:t>OSCE</w:t>
            </w:r>
          </w:p>
          <w:p w14:paraId="244F460E" w14:textId="77777777" w:rsidR="009E6B35" w:rsidRPr="00B95C6C" w:rsidRDefault="009E6B35" w:rsidP="00A20EFB">
            <w:pPr>
              <w:jc w:val="both"/>
              <w:rPr>
                <w:b/>
                <w:sz w:val="22"/>
                <w:szCs w:val="22"/>
                <w:u w:val="single"/>
              </w:rPr>
            </w:pPr>
          </w:p>
          <w:p w14:paraId="103F5145" w14:textId="77777777" w:rsidR="009E6B35" w:rsidRPr="00B95C6C" w:rsidRDefault="009E6B35" w:rsidP="00A20EFB">
            <w:pPr>
              <w:rPr>
                <w:rFonts w:eastAsia="Times New Roman" w:cs="Times New Roman"/>
                <w:color w:val="000000"/>
                <w:sz w:val="22"/>
                <w:szCs w:val="22"/>
                <w:shd w:val="clear" w:color="auto" w:fill="FFFFFF"/>
                <w:lang w:eastAsia="en-US"/>
              </w:rPr>
            </w:pPr>
            <w:r w:rsidRPr="00B95C6C">
              <w:rPr>
                <w:b/>
                <w:sz w:val="22"/>
                <w:szCs w:val="22"/>
              </w:rPr>
              <w:t xml:space="preserve">Summary:  </w:t>
            </w:r>
            <w:r w:rsidRPr="00B95C6C">
              <w:rPr>
                <w:rFonts w:eastAsia="Times New Roman" w:cs="Times New Roman"/>
                <w:color w:val="000000"/>
                <w:sz w:val="22"/>
                <w:szCs w:val="22"/>
                <w:shd w:val="clear" w:color="auto" w:fill="FFFFFF"/>
                <w:lang w:eastAsia="en-US"/>
              </w:rPr>
              <w:t>The OSCE's comprehensive view of security covers three “dimensions”: the politico-military; the economic and environmental; and the human. The OSCE's activities cover all three of these areas, from "hard" security issues such as conflict prevention to fostering economic development, ensuring the sustainable use of natural resources, and promoting the full respect of human rights and fundamental freedoms.</w:t>
            </w:r>
          </w:p>
          <w:p w14:paraId="681D70CC" w14:textId="77777777" w:rsidR="009E6B35" w:rsidRPr="00B95C6C" w:rsidRDefault="009E6B35" w:rsidP="00A20EFB">
            <w:pPr>
              <w:rPr>
                <w:rFonts w:eastAsia="Times New Roman" w:cs="Times New Roman"/>
                <w:sz w:val="22"/>
                <w:szCs w:val="22"/>
                <w:lang w:eastAsia="en-US"/>
              </w:rPr>
            </w:pPr>
          </w:p>
          <w:p w14:paraId="4C7D2CCF" w14:textId="77777777" w:rsidR="009E6B35" w:rsidRPr="00B95C6C" w:rsidRDefault="009E6B35" w:rsidP="00A20EFB">
            <w:pPr>
              <w:rPr>
                <w:b/>
                <w:sz w:val="22"/>
                <w:szCs w:val="22"/>
              </w:rPr>
            </w:pPr>
            <w:r w:rsidRPr="00B95C6C">
              <w:rPr>
                <w:b/>
                <w:sz w:val="22"/>
                <w:szCs w:val="22"/>
              </w:rPr>
              <w:t xml:space="preserve">Objectives: </w:t>
            </w:r>
          </w:p>
          <w:p w14:paraId="792CCDD9" w14:textId="77777777" w:rsidR="009E6B35" w:rsidRPr="00B95C6C" w:rsidRDefault="009E6B35" w:rsidP="00A9649E">
            <w:pPr>
              <w:pStyle w:val="ListParagraph"/>
              <w:numPr>
                <w:ilvl w:val="0"/>
                <w:numId w:val="4"/>
              </w:numPr>
              <w:rPr>
                <w:rFonts w:eastAsia="Times New Roman" w:cs="Times New Roman"/>
                <w:color w:val="000000"/>
                <w:sz w:val="22"/>
                <w:szCs w:val="22"/>
                <w:shd w:val="clear" w:color="auto" w:fill="FFFFFF"/>
                <w:lang w:eastAsia="en-US"/>
              </w:rPr>
            </w:pPr>
            <w:r w:rsidRPr="00B95C6C">
              <w:rPr>
                <w:rFonts w:eastAsia="Times New Roman" w:cs="Times New Roman"/>
                <w:color w:val="000000"/>
                <w:sz w:val="22"/>
                <w:szCs w:val="22"/>
                <w:shd w:val="clear" w:color="auto" w:fill="FFFFFF"/>
                <w:lang w:eastAsia="en-US"/>
              </w:rPr>
              <w:t xml:space="preserve">Get the Guidelines included on the agenda of the Forum for Security Co-operation, which meets weekly in Vienna (which provides a framework for dialogue between the OSCE participating States on military conduct </w:t>
            </w:r>
            <w:proofErr w:type="spellStart"/>
            <w:r w:rsidRPr="00B95C6C">
              <w:rPr>
                <w:rFonts w:eastAsia="Times New Roman" w:cs="Times New Roman"/>
                <w:color w:val="000000"/>
                <w:sz w:val="22"/>
                <w:szCs w:val="22"/>
                <w:shd w:val="clear" w:color="auto" w:fill="FFFFFF"/>
                <w:lang w:eastAsia="en-US"/>
              </w:rPr>
              <w:t>etc</w:t>
            </w:r>
            <w:proofErr w:type="spellEnd"/>
            <w:r w:rsidRPr="00B95C6C">
              <w:rPr>
                <w:rFonts w:eastAsia="Times New Roman" w:cs="Times New Roman"/>
                <w:color w:val="000000"/>
                <w:sz w:val="22"/>
                <w:szCs w:val="22"/>
                <w:shd w:val="clear" w:color="auto" w:fill="FFFFFF"/>
                <w:lang w:eastAsia="en-US"/>
              </w:rPr>
              <w:t>)</w:t>
            </w:r>
          </w:p>
          <w:p w14:paraId="46E1F711" w14:textId="77777777" w:rsidR="009E6B35" w:rsidRPr="00B95C6C" w:rsidRDefault="009E6B35" w:rsidP="00A9649E">
            <w:pPr>
              <w:pStyle w:val="ListParagraph"/>
              <w:numPr>
                <w:ilvl w:val="0"/>
                <w:numId w:val="4"/>
              </w:numPr>
              <w:jc w:val="both"/>
              <w:rPr>
                <w:b/>
                <w:sz w:val="22"/>
                <w:szCs w:val="22"/>
              </w:rPr>
            </w:pPr>
            <w:r w:rsidRPr="00B95C6C">
              <w:rPr>
                <w:rFonts w:eastAsia="Times New Roman" w:cs="Times New Roman"/>
                <w:color w:val="000000"/>
                <w:sz w:val="22"/>
                <w:szCs w:val="22"/>
                <w:shd w:val="clear" w:color="auto" w:fill="FFFFFF"/>
                <w:lang w:eastAsia="en-US"/>
              </w:rPr>
              <w:t xml:space="preserve">Inform and engage the OSCE’s education unit about the impact of MUSU </w:t>
            </w:r>
          </w:p>
          <w:p w14:paraId="65D01D1E" w14:textId="77777777" w:rsidR="009E6B35" w:rsidRPr="00B95C6C" w:rsidRDefault="009E6B35" w:rsidP="008D1A1F">
            <w:pPr>
              <w:pStyle w:val="ListParagraph"/>
              <w:jc w:val="both"/>
              <w:rPr>
                <w:b/>
                <w:sz w:val="22"/>
                <w:szCs w:val="22"/>
              </w:rPr>
            </w:pPr>
          </w:p>
          <w:p w14:paraId="7BF9EED9" w14:textId="77777777" w:rsidR="009E6B35" w:rsidRPr="00B95C6C" w:rsidRDefault="009E6B35" w:rsidP="00A20EFB">
            <w:pPr>
              <w:jc w:val="both"/>
              <w:rPr>
                <w:b/>
                <w:sz w:val="22"/>
                <w:szCs w:val="22"/>
              </w:rPr>
            </w:pPr>
            <w:r w:rsidRPr="00B95C6C">
              <w:rPr>
                <w:b/>
                <w:sz w:val="22"/>
                <w:szCs w:val="22"/>
              </w:rPr>
              <w:t>Possible Approach</w:t>
            </w:r>
          </w:p>
          <w:p w14:paraId="3E4CEAB3" w14:textId="09CEFA96" w:rsidR="009E6B35" w:rsidRPr="00B95C6C" w:rsidRDefault="009E6B35" w:rsidP="00A20EFB">
            <w:pPr>
              <w:jc w:val="both"/>
              <w:rPr>
                <w:sz w:val="22"/>
                <w:szCs w:val="22"/>
              </w:rPr>
            </w:pPr>
            <w:r w:rsidRPr="00B95C6C">
              <w:rPr>
                <w:sz w:val="22"/>
                <w:szCs w:val="22"/>
              </w:rPr>
              <w:t xml:space="preserve">Outreach and analysis required to assess value of engagement and to map possible avenues and value of engagement through </w:t>
            </w:r>
            <w:proofErr w:type="gramStart"/>
            <w:r w:rsidRPr="00B95C6C">
              <w:rPr>
                <w:sz w:val="22"/>
                <w:szCs w:val="22"/>
              </w:rPr>
              <w:t>either their conflict prevention and</w:t>
            </w:r>
            <w:proofErr w:type="gramEnd"/>
            <w:r w:rsidRPr="00B95C6C">
              <w:rPr>
                <w:sz w:val="22"/>
                <w:szCs w:val="22"/>
              </w:rPr>
              <w:t xml:space="preserve"> </w:t>
            </w:r>
            <w:r w:rsidRPr="00B95C6C">
              <w:rPr>
                <w:sz w:val="22"/>
                <w:szCs w:val="22"/>
              </w:rPr>
              <w:lastRenderedPageBreak/>
              <w:t>resolution sector and/or support through education sector. (UNESCO has strong ties to the education unit)</w:t>
            </w:r>
            <w:r w:rsidR="009E23BE">
              <w:rPr>
                <w:sz w:val="22"/>
                <w:szCs w:val="22"/>
              </w:rPr>
              <w:t>.</w:t>
            </w:r>
            <w:r w:rsidRPr="00B95C6C">
              <w:rPr>
                <w:sz w:val="22"/>
                <w:szCs w:val="22"/>
              </w:rPr>
              <w:t xml:space="preserve"> </w:t>
            </w:r>
          </w:p>
          <w:p w14:paraId="27D4B636" w14:textId="77777777" w:rsidR="009E6B35" w:rsidRPr="00B95C6C" w:rsidRDefault="009E6B35" w:rsidP="00A20EFB">
            <w:pPr>
              <w:jc w:val="both"/>
              <w:rPr>
                <w:sz w:val="22"/>
                <w:szCs w:val="22"/>
              </w:rPr>
            </w:pPr>
          </w:p>
        </w:tc>
      </w:tr>
      <w:tr w:rsidR="009E23BE" w:rsidRPr="00B95C6C" w14:paraId="743D9C32" w14:textId="77777777" w:rsidTr="009E6B35">
        <w:tc>
          <w:tcPr>
            <w:tcW w:w="8516" w:type="dxa"/>
          </w:tcPr>
          <w:p w14:paraId="248A044A" w14:textId="63713FB9" w:rsidR="009E23BE" w:rsidRPr="00B95C6C" w:rsidRDefault="009E23BE" w:rsidP="009E23BE">
            <w:pPr>
              <w:jc w:val="both"/>
              <w:rPr>
                <w:b/>
                <w:sz w:val="22"/>
                <w:szCs w:val="22"/>
                <w:u w:val="single"/>
              </w:rPr>
            </w:pPr>
            <w:r w:rsidRPr="00B95C6C">
              <w:rPr>
                <w:b/>
                <w:sz w:val="22"/>
                <w:szCs w:val="22"/>
              </w:rPr>
              <w:lastRenderedPageBreak/>
              <w:t>Organisation</w:t>
            </w:r>
            <w:r w:rsidRPr="009E23BE">
              <w:rPr>
                <w:b/>
                <w:sz w:val="22"/>
                <w:szCs w:val="22"/>
              </w:rPr>
              <w:t xml:space="preserve">: </w:t>
            </w:r>
            <w:r>
              <w:rPr>
                <w:b/>
                <w:sz w:val="22"/>
                <w:szCs w:val="22"/>
              </w:rPr>
              <w:t>ICRC</w:t>
            </w:r>
          </w:p>
          <w:p w14:paraId="5DD346AD" w14:textId="77777777" w:rsidR="009E23BE" w:rsidRPr="00B95C6C" w:rsidRDefault="009E23BE" w:rsidP="009E23BE">
            <w:pPr>
              <w:jc w:val="both"/>
              <w:rPr>
                <w:b/>
                <w:sz w:val="22"/>
                <w:szCs w:val="22"/>
                <w:u w:val="single"/>
              </w:rPr>
            </w:pPr>
          </w:p>
          <w:p w14:paraId="0D4B32BE" w14:textId="13488033" w:rsidR="009E23BE" w:rsidRPr="00B95C6C" w:rsidRDefault="009E23BE" w:rsidP="009E23BE">
            <w:pPr>
              <w:rPr>
                <w:rFonts w:eastAsia="Times New Roman" w:cs="Times New Roman"/>
                <w:color w:val="000000"/>
                <w:sz w:val="22"/>
                <w:szCs w:val="22"/>
                <w:shd w:val="clear" w:color="auto" w:fill="FFFFFF"/>
                <w:lang w:eastAsia="en-US"/>
              </w:rPr>
            </w:pPr>
            <w:r w:rsidRPr="00B95C6C">
              <w:rPr>
                <w:b/>
                <w:sz w:val="22"/>
                <w:szCs w:val="22"/>
              </w:rPr>
              <w:t xml:space="preserve">Summary:  </w:t>
            </w:r>
            <w:r>
              <w:rPr>
                <w:rFonts w:eastAsia="Times New Roman" w:cs="Times New Roman"/>
                <w:color w:val="000000"/>
                <w:sz w:val="22"/>
                <w:szCs w:val="22"/>
                <w:shd w:val="clear" w:color="auto" w:fill="FFFFFF"/>
                <w:lang w:eastAsia="en-US"/>
              </w:rPr>
              <w:t>the ICRC has followed the Guidelines closely and provided technical legal advice throughout the drafting process</w:t>
            </w:r>
            <w:r w:rsidR="007049DB">
              <w:rPr>
                <w:rFonts w:eastAsia="Times New Roman" w:cs="Times New Roman"/>
                <w:color w:val="000000"/>
                <w:sz w:val="22"/>
                <w:szCs w:val="22"/>
                <w:shd w:val="clear" w:color="auto" w:fill="FFFFFF"/>
                <w:lang w:eastAsia="en-US"/>
              </w:rPr>
              <w:t xml:space="preserve"> and are currently disseminating the Guidelines to their staff</w:t>
            </w:r>
            <w:r>
              <w:rPr>
                <w:rFonts w:eastAsia="Times New Roman" w:cs="Times New Roman"/>
                <w:color w:val="000000"/>
                <w:sz w:val="22"/>
                <w:szCs w:val="22"/>
                <w:shd w:val="clear" w:color="auto" w:fill="FFFFFF"/>
                <w:lang w:eastAsia="en-US"/>
              </w:rPr>
              <w:t xml:space="preserve">. </w:t>
            </w:r>
            <w:r w:rsidR="007049DB">
              <w:rPr>
                <w:rFonts w:eastAsia="Times New Roman" w:cs="Times New Roman"/>
                <w:color w:val="000000"/>
                <w:sz w:val="22"/>
                <w:szCs w:val="22"/>
                <w:shd w:val="clear" w:color="auto" w:fill="FFFFFF"/>
                <w:lang w:eastAsia="en-US"/>
              </w:rPr>
              <w:t xml:space="preserve">The links between the Guidelines and IHL are a recurrent issue of discussion, in particular among less supportive states. </w:t>
            </w:r>
          </w:p>
          <w:p w14:paraId="18E658F9" w14:textId="77777777" w:rsidR="009E23BE" w:rsidRPr="00B95C6C" w:rsidRDefault="009E23BE" w:rsidP="009E23BE">
            <w:pPr>
              <w:rPr>
                <w:rFonts w:eastAsia="Times New Roman" w:cs="Times New Roman"/>
                <w:sz w:val="22"/>
                <w:szCs w:val="22"/>
                <w:lang w:eastAsia="en-US"/>
              </w:rPr>
            </w:pPr>
          </w:p>
          <w:p w14:paraId="57F019E7" w14:textId="77777777" w:rsidR="009E23BE" w:rsidRPr="00B95C6C" w:rsidRDefault="009E23BE" w:rsidP="009E23BE">
            <w:pPr>
              <w:rPr>
                <w:b/>
                <w:sz w:val="22"/>
                <w:szCs w:val="22"/>
              </w:rPr>
            </w:pPr>
            <w:r w:rsidRPr="00B95C6C">
              <w:rPr>
                <w:b/>
                <w:sz w:val="22"/>
                <w:szCs w:val="22"/>
              </w:rPr>
              <w:t xml:space="preserve">Objectives: </w:t>
            </w:r>
          </w:p>
          <w:p w14:paraId="7E9742CA" w14:textId="5F6ADF7F" w:rsidR="009E23BE" w:rsidRPr="007049DB" w:rsidRDefault="009E23BE" w:rsidP="00A9649E">
            <w:pPr>
              <w:pStyle w:val="ListParagraph"/>
              <w:numPr>
                <w:ilvl w:val="0"/>
                <w:numId w:val="25"/>
              </w:numPr>
              <w:rPr>
                <w:b/>
                <w:sz w:val="22"/>
                <w:szCs w:val="22"/>
              </w:rPr>
            </w:pPr>
            <w:r w:rsidRPr="00B95C6C">
              <w:rPr>
                <w:rFonts w:eastAsia="Times New Roman" w:cs="Times New Roman"/>
                <w:color w:val="000000"/>
                <w:sz w:val="22"/>
                <w:szCs w:val="22"/>
                <w:shd w:val="clear" w:color="auto" w:fill="FFFFFF"/>
                <w:lang w:eastAsia="en-US"/>
              </w:rPr>
              <w:t xml:space="preserve">Get the Guidelines included on the agenda of the </w:t>
            </w:r>
            <w:r w:rsidR="007049DB">
              <w:rPr>
                <w:rFonts w:eastAsia="Times New Roman" w:cs="Times New Roman"/>
                <w:color w:val="000000"/>
                <w:sz w:val="22"/>
                <w:szCs w:val="22"/>
                <w:shd w:val="clear" w:color="auto" w:fill="FFFFFF"/>
                <w:lang w:eastAsia="en-US"/>
              </w:rPr>
              <w:t>Red Cross and Red Crescent Conference in November 2015</w:t>
            </w:r>
            <w:r w:rsidRPr="00B95C6C">
              <w:rPr>
                <w:rFonts w:eastAsia="Times New Roman" w:cs="Times New Roman"/>
                <w:color w:val="000000"/>
                <w:sz w:val="22"/>
                <w:szCs w:val="22"/>
                <w:shd w:val="clear" w:color="auto" w:fill="FFFFFF"/>
                <w:lang w:eastAsia="en-US"/>
              </w:rPr>
              <w:t xml:space="preserve"> </w:t>
            </w:r>
            <w:r w:rsidR="007049DB">
              <w:rPr>
                <w:rFonts w:eastAsia="Times New Roman" w:cs="Times New Roman"/>
                <w:color w:val="000000"/>
                <w:sz w:val="22"/>
                <w:szCs w:val="22"/>
                <w:shd w:val="clear" w:color="auto" w:fill="FFFFFF"/>
                <w:lang w:eastAsia="en-US"/>
              </w:rPr>
              <w:t>to foster dissemination of the Guidelines to armed parties, in particular armed groups.</w:t>
            </w:r>
          </w:p>
          <w:p w14:paraId="2F0429F9" w14:textId="7D2554F7" w:rsidR="007049DB" w:rsidRPr="007049DB" w:rsidRDefault="007049DB" w:rsidP="00A9649E">
            <w:pPr>
              <w:pStyle w:val="ListParagraph"/>
              <w:numPr>
                <w:ilvl w:val="0"/>
                <w:numId w:val="25"/>
              </w:numPr>
              <w:rPr>
                <w:b/>
                <w:sz w:val="22"/>
                <w:szCs w:val="22"/>
              </w:rPr>
            </w:pPr>
            <w:r>
              <w:rPr>
                <w:rFonts w:eastAsia="Times New Roman" w:cs="Times New Roman"/>
                <w:color w:val="000000"/>
                <w:sz w:val="22"/>
                <w:szCs w:val="22"/>
                <w:shd w:val="clear" w:color="auto" w:fill="FFFFFF"/>
                <w:lang w:eastAsia="en-US"/>
              </w:rPr>
              <w:t>Clarify and strengthen the relationship between the Guidelines and IHL and help counter arguments from less supportive states.</w:t>
            </w:r>
          </w:p>
          <w:p w14:paraId="220CE31B" w14:textId="7296F26A" w:rsidR="007049DB" w:rsidRPr="00B95C6C" w:rsidRDefault="007049DB" w:rsidP="00A9649E">
            <w:pPr>
              <w:pStyle w:val="ListParagraph"/>
              <w:numPr>
                <w:ilvl w:val="0"/>
                <w:numId w:val="25"/>
              </w:numPr>
              <w:rPr>
                <w:b/>
                <w:sz w:val="22"/>
                <w:szCs w:val="22"/>
              </w:rPr>
            </w:pPr>
            <w:r>
              <w:rPr>
                <w:rFonts w:eastAsia="Times New Roman" w:cs="Times New Roman"/>
                <w:color w:val="000000"/>
                <w:sz w:val="22"/>
                <w:szCs w:val="22"/>
                <w:shd w:val="clear" w:color="auto" w:fill="FFFFFF"/>
                <w:lang w:eastAsia="en-US"/>
              </w:rPr>
              <w:t>Ensure that follow-up on the military use of schools is adequately incorporated in the IHL compliance mechanism currently under discussion.</w:t>
            </w:r>
          </w:p>
          <w:p w14:paraId="0BEA3061" w14:textId="77777777" w:rsidR="009E23BE" w:rsidRPr="00B95C6C" w:rsidRDefault="009E23BE" w:rsidP="009E23BE">
            <w:pPr>
              <w:pStyle w:val="ListParagraph"/>
              <w:jc w:val="both"/>
              <w:rPr>
                <w:b/>
                <w:sz w:val="22"/>
                <w:szCs w:val="22"/>
              </w:rPr>
            </w:pPr>
          </w:p>
          <w:p w14:paraId="324EA96B" w14:textId="77777777" w:rsidR="009E23BE" w:rsidRPr="00B95C6C" w:rsidRDefault="009E23BE" w:rsidP="009E23BE">
            <w:pPr>
              <w:jc w:val="both"/>
              <w:rPr>
                <w:b/>
                <w:sz w:val="22"/>
                <w:szCs w:val="22"/>
              </w:rPr>
            </w:pPr>
            <w:r w:rsidRPr="00B95C6C">
              <w:rPr>
                <w:b/>
                <w:sz w:val="22"/>
                <w:szCs w:val="22"/>
              </w:rPr>
              <w:t>Possible Approach</w:t>
            </w:r>
          </w:p>
          <w:p w14:paraId="525EA61E" w14:textId="142D7592" w:rsidR="009E23BE" w:rsidRDefault="007049DB" w:rsidP="007049DB">
            <w:pPr>
              <w:jc w:val="both"/>
              <w:rPr>
                <w:sz w:val="22"/>
                <w:szCs w:val="22"/>
              </w:rPr>
            </w:pPr>
            <w:r>
              <w:rPr>
                <w:sz w:val="22"/>
                <w:szCs w:val="22"/>
              </w:rPr>
              <w:t>Continuous o</w:t>
            </w:r>
            <w:r w:rsidR="009E23BE" w:rsidRPr="00B95C6C">
              <w:rPr>
                <w:sz w:val="22"/>
                <w:szCs w:val="22"/>
              </w:rPr>
              <w:t xml:space="preserve">utreach </w:t>
            </w:r>
            <w:r>
              <w:rPr>
                <w:sz w:val="22"/>
                <w:szCs w:val="22"/>
              </w:rPr>
              <w:t>to ICRC counterparts in Geneva.</w:t>
            </w:r>
          </w:p>
          <w:p w14:paraId="3ADABAD0" w14:textId="21D3B8A0" w:rsidR="007049DB" w:rsidRPr="00B95C6C" w:rsidRDefault="007049DB" w:rsidP="007049DB">
            <w:pPr>
              <w:jc w:val="both"/>
              <w:rPr>
                <w:b/>
                <w:sz w:val="22"/>
                <w:szCs w:val="22"/>
              </w:rPr>
            </w:pPr>
          </w:p>
        </w:tc>
      </w:tr>
    </w:tbl>
    <w:p w14:paraId="4A352978" w14:textId="77777777" w:rsidR="00AA4CA8" w:rsidRDefault="00AA4CA8" w:rsidP="00A20EFB">
      <w:pPr>
        <w:pStyle w:val="Heading3"/>
        <w:spacing w:before="0"/>
      </w:pPr>
    </w:p>
    <w:p w14:paraId="79B57D83" w14:textId="77777777" w:rsidR="007049DB" w:rsidRDefault="007049DB" w:rsidP="00642C1E">
      <w:pPr>
        <w:spacing w:after="0"/>
        <w:jc w:val="both"/>
        <w:rPr>
          <w:sz w:val="22"/>
          <w:szCs w:val="22"/>
        </w:rPr>
      </w:pPr>
    </w:p>
    <w:p w14:paraId="72C0BB52" w14:textId="77777777" w:rsidR="00A7164C" w:rsidRDefault="00A7164C">
      <w:pPr>
        <w:rPr>
          <w:rFonts w:asciiTheme="majorHAnsi" w:eastAsiaTheme="majorEastAsia" w:hAnsiTheme="majorHAnsi" w:cstheme="majorBidi"/>
          <w:b/>
          <w:bCs/>
          <w:color w:val="345A8A" w:themeColor="accent1" w:themeShade="B5"/>
          <w:sz w:val="32"/>
          <w:szCs w:val="32"/>
        </w:rPr>
      </w:pPr>
      <w:r>
        <w:br w:type="page"/>
      </w:r>
    </w:p>
    <w:p w14:paraId="1AF0BF4F" w14:textId="0871045B" w:rsidR="007049DB" w:rsidRPr="00FC4270" w:rsidRDefault="007049DB" w:rsidP="007049DB">
      <w:pPr>
        <w:pStyle w:val="Heading1"/>
        <w:spacing w:before="0"/>
      </w:pPr>
      <w:bookmarkStart w:id="27" w:name="_Toc412485706"/>
      <w:r w:rsidRPr="00FC4270">
        <w:lastRenderedPageBreak/>
        <w:t xml:space="preserve">Section </w:t>
      </w:r>
      <w:r>
        <w:t>5</w:t>
      </w:r>
      <w:r w:rsidRPr="00FC4270">
        <w:t xml:space="preserve">: </w:t>
      </w:r>
      <w:r>
        <w:t>Coordination</w:t>
      </w:r>
      <w:r w:rsidR="0039357B">
        <w:t xml:space="preserve"> and technical assistance</w:t>
      </w:r>
      <w:bookmarkEnd w:id="27"/>
    </w:p>
    <w:p w14:paraId="429CF85C" w14:textId="77777777" w:rsidR="007049DB" w:rsidRDefault="007049DB" w:rsidP="00642C1E">
      <w:pPr>
        <w:spacing w:after="0"/>
        <w:jc w:val="both"/>
        <w:rPr>
          <w:sz w:val="22"/>
          <w:szCs w:val="22"/>
        </w:rPr>
      </w:pPr>
    </w:p>
    <w:p w14:paraId="5EDF4B25" w14:textId="5414F031" w:rsidR="00D22E55" w:rsidRDefault="00D22E55" w:rsidP="00D22E55">
      <w:pPr>
        <w:pStyle w:val="Heading2"/>
      </w:pPr>
      <w:bookmarkStart w:id="28" w:name="_Toc412485707"/>
      <w:r>
        <w:t>5.1. Roles and communication flow</w:t>
      </w:r>
      <w:bookmarkEnd w:id="28"/>
    </w:p>
    <w:p w14:paraId="66DF35B1" w14:textId="77777777" w:rsidR="00A7164C" w:rsidRPr="00A7164C" w:rsidRDefault="00A7164C" w:rsidP="00A7164C"/>
    <w:p w14:paraId="2B9FBA80" w14:textId="1C9EC05A" w:rsidR="0039357B" w:rsidRDefault="00F52F7E" w:rsidP="0039357B">
      <w:pPr>
        <w:pStyle w:val="Default"/>
        <w:jc w:val="both"/>
        <w:rPr>
          <w:rFonts w:asciiTheme="minorHAnsi" w:eastAsia="Calibri" w:hAnsiTheme="minorHAnsi" w:cs="Times New Roman"/>
          <w:color w:val="auto"/>
          <w:sz w:val="22"/>
          <w:szCs w:val="22"/>
          <w:lang w:val="en-US" w:eastAsia="en-US"/>
        </w:rPr>
      </w:pPr>
      <w:r w:rsidRPr="00F52F7E">
        <w:rPr>
          <w:rFonts w:asciiTheme="minorHAnsi" w:hAnsiTheme="minorHAnsi"/>
          <w:sz w:val="22"/>
          <w:szCs w:val="22"/>
          <w:lang w:val="en-US"/>
        </w:rPr>
        <w:t>Coordination of the strategy will be led by GCPEA’s Military Use Working Group, with support from a dedicated staff member based in Geneva</w:t>
      </w:r>
      <w:r w:rsidR="000D7F05">
        <w:rPr>
          <w:rStyle w:val="FootnoteReference"/>
          <w:rFonts w:asciiTheme="minorHAnsi" w:hAnsiTheme="minorHAnsi"/>
          <w:sz w:val="22"/>
          <w:szCs w:val="22"/>
          <w:lang w:val="en-US"/>
        </w:rPr>
        <w:footnoteReference w:id="10"/>
      </w:r>
      <w:r w:rsidRPr="00F52F7E">
        <w:rPr>
          <w:rFonts w:asciiTheme="minorHAnsi" w:hAnsiTheme="minorHAnsi"/>
          <w:sz w:val="22"/>
          <w:szCs w:val="22"/>
          <w:lang w:val="en-US"/>
        </w:rPr>
        <w:t xml:space="preserve"> who will ensure regular communication between all those working on this issue. </w:t>
      </w:r>
      <w:r w:rsidR="0039357B">
        <w:rPr>
          <w:rFonts w:asciiTheme="minorHAnsi" w:eastAsia="Calibri" w:hAnsiTheme="minorHAnsi" w:cs="Times New Roman"/>
          <w:color w:val="auto"/>
          <w:sz w:val="22"/>
          <w:szCs w:val="22"/>
          <w:lang w:val="en-US" w:eastAsia="en-US"/>
        </w:rPr>
        <w:t>The Working Group and the Coordinator can help country offices and members by:</w:t>
      </w:r>
    </w:p>
    <w:p w14:paraId="29C28B35" w14:textId="77777777" w:rsidR="0039357B" w:rsidRDefault="0039357B" w:rsidP="00A9649E">
      <w:pPr>
        <w:pStyle w:val="Default"/>
        <w:numPr>
          <w:ilvl w:val="0"/>
          <w:numId w:val="11"/>
        </w:numPr>
        <w:adjustRightInd/>
        <w:jc w:val="both"/>
        <w:rPr>
          <w:rFonts w:asciiTheme="minorHAnsi" w:eastAsia="Calibri" w:hAnsiTheme="minorHAnsi" w:cs="Times New Roman"/>
          <w:color w:val="auto"/>
          <w:sz w:val="22"/>
          <w:szCs w:val="22"/>
          <w:lang w:val="en-US" w:eastAsia="en-US"/>
        </w:rPr>
      </w:pPr>
      <w:r>
        <w:rPr>
          <w:rFonts w:asciiTheme="minorHAnsi" w:eastAsia="Calibri" w:hAnsiTheme="minorHAnsi" w:cs="Times New Roman"/>
          <w:color w:val="auto"/>
          <w:sz w:val="22"/>
          <w:szCs w:val="22"/>
          <w:lang w:val="en-US" w:eastAsia="en-US"/>
        </w:rPr>
        <w:t xml:space="preserve">Providing up-to-date </w:t>
      </w:r>
      <w:r w:rsidRPr="0013061B">
        <w:rPr>
          <w:rFonts w:asciiTheme="minorHAnsi" w:eastAsia="Calibri" w:hAnsiTheme="minorHAnsi" w:cs="Times New Roman"/>
          <w:b/>
          <w:color w:val="auto"/>
          <w:sz w:val="22"/>
          <w:szCs w:val="22"/>
          <w:lang w:val="en-US" w:eastAsia="en-US"/>
        </w:rPr>
        <w:t>information on the status of the endorsement process</w:t>
      </w:r>
      <w:r>
        <w:rPr>
          <w:rFonts w:asciiTheme="minorHAnsi" w:eastAsia="Calibri" w:hAnsiTheme="minorHAnsi" w:cs="Times New Roman"/>
          <w:color w:val="auto"/>
          <w:sz w:val="22"/>
          <w:szCs w:val="22"/>
          <w:lang w:val="en-US" w:eastAsia="en-US"/>
        </w:rPr>
        <w:t xml:space="preserve">, including country positions during consultations around the Safe Schools Declaration; and/or the </w:t>
      </w:r>
      <w:r w:rsidRPr="0013061B">
        <w:rPr>
          <w:rFonts w:asciiTheme="minorHAnsi" w:eastAsia="Calibri" w:hAnsiTheme="minorHAnsi" w:cs="Times New Roman"/>
          <w:b/>
          <w:color w:val="auto"/>
          <w:sz w:val="22"/>
          <w:szCs w:val="22"/>
          <w:lang w:val="en-US" w:eastAsia="en-US"/>
        </w:rPr>
        <w:t>status of implementation of the Guidelines</w:t>
      </w:r>
      <w:r>
        <w:rPr>
          <w:rFonts w:asciiTheme="minorHAnsi" w:eastAsia="Calibri" w:hAnsiTheme="minorHAnsi" w:cs="Times New Roman"/>
          <w:color w:val="auto"/>
          <w:sz w:val="22"/>
          <w:szCs w:val="22"/>
          <w:lang w:val="en-US" w:eastAsia="en-US"/>
        </w:rPr>
        <w:t>;</w:t>
      </w:r>
    </w:p>
    <w:p w14:paraId="27632767" w14:textId="77777777" w:rsidR="0039357B" w:rsidRDefault="0039357B" w:rsidP="00A9649E">
      <w:pPr>
        <w:pStyle w:val="Default"/>
        <w:numPr>
          <w:ilvl w:val="0"/>
          <w:numId w:val="11"/>
        </w:numPr>
        <w:adjustRightInd/>
        <w:jc w:val="both"/>
        <w:rPr>
          <w:rFonts w:asciiTheme="minorHAnsi" w:eastAsia="Calibri" w:hAnsiTheme="minorHAnsi" w:cs="Times New Roman"/>
          <w:color w:val="auto"/>
          <w:sz w:val="22"/>
          <w:szCs w:val="22"/>
          <w:lang w:val="en-US" w:eastAsia="en-US"/>
        </w:rPr>
      </w:pPr>
      <w:r>
        <w:rPr>
          <w:rFonts w:asciiTheme="minorHAnsi" w:eastAsia="Calibri" w:hAnsiTheme="minorHAnsi" w:cs="Times New Roman"/>
          <w:color w:val="auto"/>
          <w:sz w:val="22"/>
          <w:szCs w:val="22"/>
          <w:lang w:val="en-US" w:eastAsia="en-US"/>
        </w:rPr>
        <w:t xml:space="preserve">Facilitating </w:t>
      </w:r>
      <w:r w:rsidRPr="00565C6B">
        <w:rPr>
          <w:rFonts w:asciiTheme="minorHAnsi" w:eastAsia="Calibri" w:hAnsiTheme="minorHAnsi" w:cs="Times New Roman"/>
          <w:b/>
          <w:color w:val="auto"/>
          <w:sz w:val="22"/>
          <w:szCs w:val="22"/>
          <w:lang w:val="en-US" w:eastAsia="en-US"/>
        </w:rPr>
        <w:t>exchange of information on related advocacy efforts</w:t>
      </w:r>
      <w:r>
        <w:rPr>
          <w:rFonts w:asciiTheme="minorHAnsi" w:eastAsia="Calibri" w:hAnsiTheme="minorHAnsi" w:cs="Times New Roman"/>
          <w:color w:val="auto"/>
          <w:sz w:val="22"/>
          <w:szCs w:val="22"/>
          <w:lang w:val="en-US" w:eastAsia="en-US"/>
        </w:rPr>
        <w:t xml:space="preserve"> conducted or planned in other countries, regionally or globally and </w:t>
      </w:r>
      <w:r w:rsidRPr="00565C6B">
        <w:rPr>
          <w:rFonts w:asciiTheme="minorHAnsi" w:eastAsia="Calibri" w:hAnsiTheme="minorHAnsi" w:cs="Times New Roman"/>
          <w:b/>
          <w:color w:val="auto"/>
          <w:sz w:val="22"/>
          <w:szCs w:val="22"/>
          <w:lang w:val="en-US" w:eastAsia="en-US"/>
        </w:rPr>
        <w:t>helping coordinate joint advocacy</w:t>
      </w:r>
      <w:r>
        <w:rPr>
          <w:rFonts w:asciiTheme="minorHAnsi" w:eastAsia="Calibri" w:hAnsiTheme="minorHAnsi" w:cs="Times New Roman"/>
          <w:color w:val="auto"/>
          <w:sz w:val="22"/>
          <w:szCs w:val="22"/>
          <w:lang w:val="en-US" w:eastAsia="en-US"/>
        </w:rPr>
        <w:t xml:space="preserve"> action at national, regional or global level;</w:t>
      </w:r>
    </w:p>
    <w:p w14:paraId="21EB6845" w14:textId="77777777" w:rsidR="0039357B" w:rsidRDefault="0039357B" w:rsidP="00A9649E">
      <w:pPr>
        <w:pStyle w:val="Default"/>
        <w:numPr>
          <w:ilvl w:val="0"/>
          <w:numId w:val="11"/>
        </w:numPr>
        <w:adjustRightInd/>
        <w:jc w:val="both"/>
        <w:rPr>
          <w:rFonts w:asciiTheme="minorHAnsi" w:eastAsia="Calibri" w:hAnsiTheme="minorHAnsi" w:cs="Times New Roman"/>
          <w:color w:val="auto"/>
          <w:sz w:val="22"/>
          <w:szCs w:val="22"/>
          <w:lang w:val="en-US" w:eastAsia="en-US"/>
        </w:rPr>
      </w:pPr>
      <w:r>
        <w:rPr>
          <w:rFonts w:asciiTheme="minorHAnsi" w:eastAsia="Calibri" w:hAnsiTheme="minorHAnsi" w:cs="Times New Roman"/>
          <w:color w:val="auto"/>
          <w:sz w:val="22"/>
          <w:szCs w:val="22"/>
          <w:lang w:val="en-US" w:eastAsia="en-US"/>
        </w:rPr>
        <w:t xml:space="preserve">Providing </w:t>
      </w:r>
      <w:r w:rsidRPr="00565C6B">
        <w:rPr>
          <w:rFonts w:asciiTheme="minorHAnsi" w:eastAsia="Calibri" w:hAnsiTheme="minorHAnsi" w:cs="Times New Roman"/>
          <w:b/>
          <w:color w:val="auto"/>
          <w:sz w:val="22"/>
          <w:szCs w:val="22"/>
          <w:lang w:val="en-US" w:eastAsia="en-US"/>
        </w:rPr>
        <w:t>support for the development of advocacy and public communication materials</w:t>
      </w:r>
      <w:r>
        <w:rPr>
          <w:rFonts w:asciiTheme="minorHAnsi" w:eastAsia="Calibri" w:hAnsiTheme="minorHAnsi" w:cs="Times New Roman"/>
          <w:color w:val="auto"/>
          <w:sz w:val="22"/>
          <w:szCs w:val="22"/>
          <w:lang w:val="en-US" w:eastAsia="en-US"/>
        </w:rPr>
        <w:t xml:space="preserve"> (background research, messaging, templates, sample documents etc.);</w:t>
      </w:r>
    </w:p>
    <w:p w14:paraId="5F0BEE57" w14:textId="77777777" w:rsidR="0039357B" w:rsidRDefault="0039357B" w:rsidP="00A9649E">
      <w:pPr>
        <w:pStyle w:val="Default"/>
        <w:numPr>
          <w:ilvl w:val="0"/>
          <w:numId w:val="11"/>
        </w:numPr>
        <w:adjustRightInd/>
        <w:jc w:val="both"/>
        <w:rPr>
          <w:rFonts w:asciiTheme="minorHAnsi" w:eastAsia="Calibri" w:hAnsiTheme="minorHAnsi" w:cs="Times New Roman"/>
          <w:color w:val="auto"/>
          <w:sz w:val="22"/>
          <w:szCs w:val="22"/>
          <w:lang w:val="en-US" w:eastAsia="en-US"/>
        </w:rPr>
      </w:pPr>
      <w:r>
        <w:rPr>
          <w:rFonts w:asciiTheme="minorHAnsi" w:eastAsia="Calibri" w:hAnsiTheme="minorHAnsi" w:cs="Times New Roman"/>
          <w:color w:val="auto"/>
          <w:sz w:val="22"/>
          <w:szCs w:val="22"/>
          <w:lang w:val="en-US" w:eastAsia="en-US"/>
        </w:rPr>
        <w:t xml:space="preserve">Facilitate and assist with the provision of </w:t>
      </w:r>
      <w:r w:rsidRPr="00565C6B">
        <w:rPr>
          <w:rFonts w:asciiTheme="minorHAnsi" w:eastAsia="Calibri" w:hAnsiTheme="minorHAnsi" w:cs="Times New Roman"/>
          <w:b/>
          <w:color w:val="auto"/>
          <w:sz w:val="22"/>
          <w:szCs w:val="22"/>
          <w:lang w:val="en-US" w:eastAsia="en-US"/>
        </w:rPr>
        <w:t>technical assistance</w:t>
      </w:r>
      <w:r>
        <w:rPr>
          <w:rFonts w:asciiTheme="minorHAnsi" w:eastAsia="Calibri" w:hAnsiTheme="minorHAnsi" w:cs="Times New Roman"/>
          <w:color w:val="auto"/>
          <w:sz w:val="22"/>
          <w:szCs w:val="22"/>
          <w:lang w:val="en-US" w:eastAsia="en-US"/>
        </w:rPr>
        <w:t xml:space="preserve"> for the implementation of the Guidelines. </w:t>
      </w:r>
    </w:p>
    <w:p w14:paraId="524B4F71" w14:textId="77777777" w:rsidR="0039357B" w:rsidRDefault="0039357B" w:rsidP="00F52F7E">
      <w:pPr>
        <w:pStyle w:val="Default"/>
        <w:jc w:val="both"/>
        <w:rPr>
          <w:rFonts w:asciiTheme="minorHAnsi" w:hAnsiTheme="minorHAnsi"/>
          <w:sz w:val="22"/>
          <w:szCs w:val="22"/>
          <w:lang w:val="en-US"/>
        </w:rPr>
      </w:pPr>
    </w:p>
    <w:p w14:paraId="1416386D" w14:textId="1BBBCC35" w:rsidR="0039357B" w:rsidRDefault="00F52F7E" w:rsidP="0039357B">
      <w:pPr>
        <w:pStyle w:val="Default"/>
        <w:jc w:val="both"/>
        <w:rPr>
          <w:rFonts w:asciiTheme="minorHAnsi" w:hAnsiTheme="minorHAnsi"/>
          <w:sz w:val="22"/>
          <w:szCs w:val="22"/>
          <w:lang w:val="en-US"/>
        </w:rPr>
      </w:pPr>
      <w:r w:rsidRPr="0039724C">
        <w:rPr>
          <w:rFonts w:asciiTheme="minorHAnsi" w:hAnsiTheme="minorHAnsi"/>
          <w:sz w:val="22"/>
          <w:szCs w:val="22"/>
          <w:lang w:val="en-US"/>
        </w:rPr>
        <w:t xml:space="preserve">Member </w:t>
      </w:r>
      <w:proofErr w:type="spellStart"/>
      <w:r w:rsidRPr="0039724C">
        <w:rPr>
          <w:rFonts w:asciiTheme="minorHAnsi" w:hAnsiTheme="minorHAnsi"/>
          <w:sz w:val="22"/>
          <w:szCs w:val="22"/>
          <w:lang w:val="en-US"/>
        </w:rPr>
        <w:t>organisations</w:t>
      </w:r>
      <w:proofErr w:type="spellEnd"/>
      <w:r w:rsidRPr="0039724C">
        <w:rPr>
          <w:rFonts w:asciiTheme="minorHAnsi" w:hAnsiTheme="minorHAnsi"/>
          <w:sz w:val="22"/>
          <w:szCs w:val="22"/>
          <w:lang w:val="en-US"/>
        </w:rPr>
        <w:t xml:space="preserve"> of GCPEA will be named as </w:t>
      </w:r>
      <w:r w:rsidR="0039357B" w:rsidRPr="0039357B">
        <w:rPr>
          <w:rFonts w:asciiTheme="minorHAnsi" w:hAnsiTheme="minorHAnsi"/>
          <w:b/>
          <w:sz w:val="22"/>
          <w:szCs w:val="22"/>
          <w:lang w:val="en-US"/>
        </w:rPr>
        <w:t>focal points</w:t>
      </w:r>
      <w:r w:rsidRPr="0039724C">
        <w:rPr>
          <w:rFonts w:asciiTheme="minorHAnsi" w:hAnsiTheme="minorHAnsi"/>
          <w:sz w:val="22"/>
          <w:szCs w:val="22"/>
          <w:lang w:val="en-US"/>
        </w:rPr>
        <w:t xml:space="preserve"> for in-country advocacy (as capacity allows) and will work with other GCPEA members and other UN and civil society groups to inform and influence relevant national government</w:t>
      </w:r>
      <w:r>
        <w:rPr>
          <w:rFonts w:asciiTheme="minorHAnsi" w:hAnsiTheme="minorHAnsi"/>
          <w:sz w:val="22"/>
          <w:szCs w:val="22"/>
          <w:lang w:val="en-US"/>
        </w:rPr>
        <w:t>s through country-specific advocacy plans</w:t>
      </w:r>
      <w:r w:rsidR="0039357B">
        <w:rPr>
          <w:rFonts w:asciiTheme="minorHAnsi" w:hAnsiTheme="minorHAnsi"/>
          <w:sz w:val="22"/>
          <w:szCs w:val="22"/>
          <w:lang w:val="en-US"/>
        </w:rPr>
        <w:t>.</w:t>
      </w:r>
    </w:p>
    <w:p w14:paraId="4DE87B1D" w14:textId="77777777" w:rsidR="007A4121" w:rsidRDefault="007A4121" w:rsidP="0039357B">
      <w:pPr>
        <w:pStyle w:val="Default"/>
        <w:jc w:val="both"/>
        <w:rPr>
          <w:rFonts w:asciiTheme="minorHAnsi" w:hAnsiTheme="minorHAnsi"/>
          <w:sz w:val="22"/>
          <w:szCs w:val="22"/>
          <w:lang w:val="en-US"/>
        </w:rPr>
      </w:pPr>
    </w:p>
    <w:p w14:paraId="6AC7F4DA" w14:textId="2FC91732" w:rsidR="007A4121" w:rsidRDefault="007A4121" w:rsidP="0039357B">
      <w:pPr>
        <w:pStyle w:val="Default"/>
        <w:jc w:val="both"/>
        <w:rPr>
          <w:rFonts w:asciiTheme="minorHAnsi" w:hAnsiTheme="minorHAnsi"/>
          <w:sz w:val="22"/>
          <w:szCs w:val="22"/>
          <w:lang w:val="en-US"/>
        </w:rPr>
      </w:pPr>
      <w:r>
        <w:rPr>
          <w:rFonts w:asciiTheme="minorHAnsi" w:hAnsiTheme="minorHAnsi"/>
          <w:sz w:val="22"/>
          <w:szCs w:val="22"/>
          <w:lang w:val="en-US"/>
        </w:rPr>
        <w:t>The following chart illustrates the roles and flow of communication between the various actors engaged in the implementation of this strategy:</w:t>
      </w:r>
    </w:p>
    <w:p w14:paraId="197F5F8B" w14:textId="77777777" w:rsidR="00D22E55" w:rsidRDefault="00D22E55" w:rsidP="0039357B">
      <w:pPr>
        <w:pStyle w:val="Default"/>
        <w:jc w:val="both"/>
        <w:rPr>
          <w:rFonts w:asciiTheme="minorHAnsi" w:hAnsiTheme="minorHAnsi"/>
          <w:sz w:val="22"/>
          <w:szCs w:val="22"/>
          <w:lang w:val="en-US"/>
        </w:rPr>
      </w:pPr>
    </w:p>
    <w:p w14:paraId="4681183C" w14:textId="70BC769A" w:rsidR="00D22E55" w:rsidRDefault="00D22E55" w:rsidP="0039357B">
      <w:pPr>
        <w:pStyle w:val="Default"/>
        <w:jc w:val="both"/>
        <w:rPr>
          <w:rFonts w:asciiTheme="minorHAnsi" w:hAnsiTheme="minorHAnsi"/>
          <w:sz w:val="22"/>
          <w:szCs w:val="22"/>
          <w:lang w:val="en-US"/>
        </w:rPr>
      </w:pPr>
      <w:r>
        <w:rPr>
          <w:noProof/>
          <w:sz w:val="22"/>
          <w:szCs w:val="22"/>
          <w:lang w:eastAsia="fr-CH"/>
        </w:rPr>
        <w:drawing>
          <wp:inline distT="0" distB="0" distL="0" distR="0" wp14:anchorId="091EE6C3" wp14:editId="01878137">
            <wp:extent cx="5270500" cy="3074670"/>
            <wp:effectExtent l="38100" t="19050" r="2540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E4587A6" w14:textId="77777777" w:rsidR="00D22E55" w:rsidRDefault="00D22E55" w:rsidP="0039357B">
      <w:pPr>
        <w:pStyle w:val="Default"/>
        <w:jc w:val="both"/>
        <w:rPr>
          <w:rFonts w:asciiTheme="minorHAnsi" w:hAnsiTheme="minorHAnsi"/>
          <w:sz w:val="22"/>
          <w:szCs w:val="22"/>
          <w:lang w:val="en-US"/>
        </w:rPr>
      </w:pPr>
    </w:p>
    <w:p w14:paraId="618B8D3D" w14:textId="41B63606" w:rsidR="00D22E55" w:rsidRDefault="00D22E55" w:rsidP="00D22E55">
      <w:pPr>
        <w:pStyle w:val="Heading2"/>
        <w:rPr>
          <w:lang w:val="en-US"/>
        </w:rPr>
      </w:pPr>
      <w:bookmarkStart w:id="29" w:name="_Toc412485708"/>
      <w:r>
        <w:rPr>
          <w:lang w:val="en-US"/>
        </w:rPr>
        <w:lastRenderedPageBreak/>
        <w:t>5.2. Resource pack</w:t>
      </w:r>
      <w:bookmarkEnd w:id="29"/>
    </w:p>
    <w:p w14:paraId="3973DF4C" w14:textId="77777777" w:rsidR="0039357B" w:rsidRDefault="0039357B" w:rsidP="0039357B">
      <w:pPr>
        <w:pStyle w:val="Default"/>
        <w:jc w:val="both"/>
        <w:rPr>
          <w:rFonts w:asciiTheme="minorHAnsi" w:hAnsiTheme="minorHAnsi"/>
          <w:sz w:val="22"/>
          <w:szCs w:val="22"/>
          <w:lang w:val="en-US"/>
        </w:rPr>
      </w:pPr>
    </w:p>
    <w:p w14:paraId="732FCD0D" w14:textId="77777777" w:rsidR="0040285B" w:rsidRPr="0040285B" w:rsidRDefault="0040285B" w:rsidP="0039357B">
      <w:pPr>
        <w:pStyle w:val="Default"/>
        <w:jc w:val="both"/>
        <w:rPr>
          <w:rFonts w:asciiTheme="minorHAnsi" w:hAnsiTheme="minorHAnsi"/>
          <w:b/>
          <w:sz w:val="22"/>
          <w:szCs w:val="22"/>
          <w:lang w:val="en-US"/>
        </w:rPr>
      </w:pPr>
      <w:r w:rsidRPr="0040285B">
        <w:rPr>
          <w:rFonts w:asciiTheme="minorHAnsi" w:hAnsiTheme="minorHAnsi"/>
          <w:b/>
          <w:sz w:val="22"/>
          <w:szCs w:val="22"/>
          <w:lang w:val="en-US"/>
        </w:rPr>
        <w:t>Resources for dissemination:</w:t>
      </w:r>
    </w:p>
    <w:p w14:paraId="5379EB24" w14:textId="77777777" w:rsidR="0040285B" w:rsidRDefault="0040285B" w:rsidP="0039357B">
      <w:pPr>
        <w:pStyle w:val="Default"/>
        <w:jc w:val="both"/>
        <w:rPr>
          <w:rFonts w:asciiTheme="minorHAnsi" w:hAnsiTheme="minorHAnsi"/>
          <w:sz w:val="22"/>
          <w:szCs w:val="22"/>
          <w:lang w:val="en-US"/>
        </w:rPr>
      </w:pPr>
    </w:p>
    <w:p w14:paraId="0A751549" w14:textId="77777777" w:rsidR="00D22E55" w:rsidRDefault="00D22E55" w:rsidP="00A9649E">
      <w:pPr>
        <w:pStyle w:val="ListParagraph"/>
        <w:numPr>
          <w:ilvl w:val="0"/>
          <w:numId w:val="27"/>
        </w:numPr>
        <w:spacing w:after="0"/>
        <w:jc w:val="both"/>
        <w:rPr>
          <w:sz w:val="22"/>
          <w:szCs w:val="22"/>
        </w:rPr>
      </w:pPr>
      <w:r w:rsidRPr="00705610">
        <w:rPr>
          <w:b/>
          <w:sz w:val="22"/>
          <w:szCs w:val="22"/>
        </w:rPr>
        <w:t>Guidelines</w:t>
      </w:r>
      <w:r>
        <w:rPr>
          <w:sz w:val="22"/>
          <w:szCs w:val="22"/>
        </w:rPr>
        <w:t xml:space="preserve"> </w:t>
      </w:r>
      <w:r w:rsidRPr="007A4121">
        <w:rPr>
          <w:b/>
          <w:sz w:val="22"/>
          <w:szCs w:val="22"/>
        </w:rPr>
        <w:t xml:space="preserve">for Protecting Schools and Universities from Military Use during Armed Conflict </w:t>
      </w:r>
      <w:r>
        <w:rPr>
          <w:sz w:val="22"/>
          <w:szCs w:val="22"/>
        </w:rPr>
        <w:t xml:space="preserve">(text only, on one page) – </w:t>
      </w:r>
      <w:hyperlink r:id="rId25" w:history="1">
        <w:r w:rsidRPr="00705610">
          <w:rPr>
            <w:rStyle w:val="Hyperlink"/>
            <w:sz w:val="22"/>
            <w:szCs w:val="22"/>
          </w:rPr>
          <w:t>English</w:t>
        </w:r>
      </w:hyperlink>
      <w:r>
        <w:rPr>
          <w:sz w:val="22"/>
          <w:szCs w:val="22"/>
        </w:rPr>
        <w:t xml:space="preserve">, </w:t>
      </w:r>
      <w:hyperlink r:id="rId26" w:history="1">
        <w:r w:rsidRPr="00705610">
          <w:rPr>
            <w:rStyle w:val="Hyperlink"/>
            <w:sz w:val="22"/>
            <w:szCs w:val="22"/>
          </w:rPr>
          <w:t>French</w:t>
        </w:r>
      </w:hyperlink>
      <w:r>
        <w:rPr>
          <w:sz w:val="22"/>
          <w:szCs w:val="22"/>
        </w:rPr>
        <w:t xml:space="preserve">, </w:t>
      </w:r>
      <w:hyperlink r:id="rId27" w:history="1">
        <w:r w:rsidRPr="00705610">
          <w:rPr>
            <w:rStyle w:val="Hyperlink"/>
            <w:sz w:val="22"/>
            <w:szCs w:val="22"/>
          </w:rPr>
          <w:t>Arabic</w:t>
        </w:r>
      </w:hyperlink>
      <w:r>
        <w:rPr>
          <w:sz w:val="22"/>
          <w:szCs w:val="22"/>
        </w:rPr>
        <w:t xml:space="preserve">, </w:t>
      </w:r>
      <w:hyperlink r:id="rId28" w:history="1">
        <w:r w:rsidRPr="00705610">
          <w:rPr>
            <w:rStyle w:val="Hyperlink"/>
            <w:sz w:val="22"/>
            <w:szCs w:val="22"/>
          </w:rPr>
          <w:t>Spanish</w:t>
        </w:r>
      </w:hyperlink>
    </w:p>
    <w:p w14:paraId="48BE3543" w14:textId="77777777" w:rsidR="00D22E55" w:rsidRPr="00705610" w:rsidRDefault="00D22E55" w:rsidP="00D22E55">
      <w:pPr>
        <w:pStyle w:val="ListParagraph"/>
        <w:spacing w:after="0"/>
        <w:ind w:left="360"/>
        <w:jc w:val="both"/>
        <w:rPr>
          <w:sz w:val="22"/>
          <w:szCs w:val="22"/>
        </w:rPr>
      </w:pPr>
    </w:p>
    <w:p w14:paraId="440E1778" w14:textId="536B640D" w:rsidR="00D22E55" w:rsidRPr="00705610" w:rsidRDefault="00D22E55" w:rsidP="00A9649E">
      <w:pPr>
        <w:pStyle w:val="ListParagraph"/>
        <w:numPr>
          <w:ilvl w:val="0"/>
          <w:numId w:val="27"/>
        </w:numPr>
        <w:spacing w:after="0"/>
        <w:jc w:val="both"/>
        <w:rPr>
          <w:sz w:val="22"/>
          <w:szCs w:val="22"/>
        </w:rPr>
      </w:pPr>
      <w:r w:rsidRPr="007A4121">
        <w:rPr>
          <w:b/>
          <w:sz w:val="22"/>
          <w:szCs w:val="22"/>
        </w:rPr>
        <w:t xml:space="preserve">GCPEA </w:t>
      </w:r>
      <w:r w:rsidR="00C76453">
        <w:rPr>
          <w:b/>
          <w:sz w:val="22"/>
          <w:szCs w:val="22"/>
        </w:rPr>
        <w:t>Commentary on the</w:t>
      </w:r>
      <w:r w:rsidRPr="007A4121">
        <w:rPr>
          <w:b/>
          <w:sz w:val="22"/>
          <w:szCs w:val="22"/>
        </w:rPr>
        <w:t xml:space="preserve"> Guidelines for Protecting Schools and Universities from Military Use during Armed Conflict</w:t>
      </w:r>
      <w:r w:rsidRPr="00705610">
        <w:rPr>
          <w:sz w:val="22"/>
          <w:szCs w:val="22"/>
        </w:rPr>
        <w:t xml:space="preserve"> - </w:t>
      </w:r>
      <w:hyperlink r:id="rId29" w:history="1">
        <w:r w:rsidRPr="00705610">
          <w:rPr>
            <w:rStyle w:val="Hyperlink"/>
            <w:sz w:val="22"/>
            <w:szCs w:val="22"/>
          </w:rPr>
          <w:t>English</w:t>
        </w:r>
      </w:hyperlink>
    </w:p>
    <w:p w14:paraId="6BA71F0C" w14:textId="77777777" w:rsidR="00D22E55" w:rsidRDefault="00D22E55" w:rsidP="00D22E55">
      <w:pPr>
        <w:spacing w:after="0"/>
        <w:jc w:val="both"/>
        <w:rPr>
          <w:sz w:val="22"/>
          <w:szCs w:val="22"/>
        </w:rPr>
      </w:pPr>
    </w:p>
    <w:p w14:paraId="055F0201" w14:textId="77777777" w:rsidR="00D22E55" w:rsidRDefault="00D22E55" w:rsidP="00A9649E">
      <w:pPr>
        <w:pStyle w:val="ListParagraph"/>
        <w:numPr>
          <w:ilvl w:val="0"/>
          <w:numId w:val="27"/>
        </w:numPr>
        <w:spacing w:after="0"/>
        <w:jc w:val="both"/>
        <w:rPr>
          <w:sz w:val="22"/>
          <w:szCs w:val="22"/>
        </w:rPr>
      </w:pPr>
      <w:r w:rsidRPr="007A4121">
        <w:rPr>
          <w:b/>
          <w:sz w:val="22"/>
          <w:szCs w:val="22"/>
        </w:rPr>
        <w:t>GCPEA Q</w:t>
      </w:r>
      <w:r>
        <w:rPr>
          <w:b/>
          <w:sz w:val="22"/>
          <w:szCs w:val="22"/>
        </w:rPr>
        <w:t xml:space="preserve">uestions </w:t>
      </w:r>
      <w:r w:rsidRPr="007A4121">
        <w:rPr>
          <w:b/>
          <w:sz w:val="22"/>
          <w:szCs w:val="22"/>
        </w:rPr>
        <w:t>&amp;</w:t>
      </w:r>
      <w:r>
        <w:rPr>
          <w:b/>
          <w:sz w:val="22"/>
          <w:szCs w:val="22"/>
        </w:rPr>
        <w:t xml:space="preserve"> </w:t>
      </w:r>
      <w:r w:rsidRPr="007A4121">
        <w:rPr>
          <w:b/>
          <w:sz w:val="22"/>
          <w:szCs w:val="22"/>
        </w:rPr>
        <w:t>A</w:t>
      </w:r>
      <w:r>
        <w:rPr>
          <w:b/>
          <w:sz w:val="22"/>
          <w:szCs w:val="22"/>
        </w:rPr>
        <w:t>nswers</w:t>
      </w:r>
      <w:r w:rsidRPr="007A4121">
        <w:rPr>
          <w:b/>
          <w:sz w:val="22"/>
          <w:szCs w:val="22"/>
        </w:rPr>
        <w:t xml:space="preserve"> on the Guidelines</w:t>
      </w:r>
      <w:r w:rsidRPr="00705610">
        <w:rPr>
          <w:sz w:val="22"/>
          <w:szCs w:val="22"/>
        </w:rPr>
        <w:t xml:space="preserve"> – </w:t>
      </w:r>
      <w:hyperlink r:id="rId30" w:history="1">
        <w:r w:rsidRPr="00705610">
          <w:rPr>
            <w:rStyle w:val="Hyperlink"/>
            <w:sz w:val="22"/>
            <w:szCs w:val="22"/>
          </w:rPr>
          <w:t>English</w:t>
        </w:r>
      </w:hyperlink>
      <w:r w:rsidRPr="00705610">
        <w:rPr>
          <w:sz w:val="22"/>
          <w:szCs w:val="22"/>
        </w:rPr>
        <w:t xml:space="preserve">, </w:t>
      </w:r>
      <w:hyperlink r:id="rId31" w:history="1">
        <w:r w:rsidRPr="00705610">
          <w:rPr>
            <w:rStyle w:val="Hyperlink"/>
            <w:sz w:val="22"/>
            <w:szCs w:val="22"/>
          </w:rPr>
          <w:t>French</w:t>
        </w:r>
      </w:hyperlink>
      <w:r w:rsidRPr="00705610">
        <w:rPr>
          <w:sz w:val="22"/>
          <w:szCs w:val="22"/>
        </w:rPr>
        <w:t xml:space="preserve">, </w:t>
      </w:r>
      <w:hyperlink r:id="rId32" w:history="1">
        <w:r w:rsidRPr="00705610">
          <w:rPr>
            <w:rStyle w:val="Hyperlink"/>
            <w:sz w:val="22"/>
            <w:szCs w:val="22"/>
          </w:rPr>
          <w:t>Arabic</w:t>
        </w:r>
      </w:hyperlink>
      <w:r w:rsidRPr="00705610">
        <w:rPr>
          <w:sz w:val="22"/>
          <w:szCs w:val="22"/>
        </w:rPr>
        <w:t xml:space="preserve">, </w:t>
      </w:r>
      <w:hyperlink r:id="rId33" w:history="1">
        <w:r w:rsidRPr="00705610">
          <w:rPr>
            <w:rStyle w:val="Hyperlink"/>
            <w:sz w:val="22"/>
            <w:szCs w:val="22"/>
          </w:rPr>
          <w:t>Spanish</w:t>
        </w:r>
      </w:hyperlink>
    </w:p>
    <w:p w14:paraId="28DC9065" w14:textId="77777777" w:rsidR="00D22E55" w:rsidRPr="00705610" w:rsidRDefault="00D22E55" w:rsidP="00D22E55">
      <w:pPr>
        <w:pStyle w:val="ListParagraph"/>
        <w:rPr>
          <w:sz w:val="22"/>
          <w:szCs w:val="22"/>
        </w:rPr>
      </w:pPr>
    </w:p>
    <w:p w14:paraId="309C36BA" w14:textId="77777777" w:rsidR="00D22E55" w:rsidRDefault="00D22E55" w:rsidP="00A9649E">
      <w:pPr>
        <w:pStyle w:val="ListParagraph"/>
        <w:numPr>
          <w:ilvl w:val="0"/>
          <w:numId w:val="27"/>
        </w:numPr>
        <w:spacing w:after="0"/>
        <w:jc w:val="both"/>
        <w:rPr>
          <w:sz w:val="22"/>
          <w:szCs w:val="22"/>
        </w:rPr>
      </w:pPr>
      <w:r w:rsidRPr="007A4121">
        <w:rPr>
          <w:b/>
          <w:sz w:val="22"/>
          <w:szCs w:val="22"/>
        </w:rPr>
        <w:t>Military use of schools, applicable international legal framework</w:t>
      </w:r>
      <w:r>
        <w:rPr>
          <w:sz w:val="22"/>
          <w:szCs w:val="22"/>
        </w:rPr>
        <w:t xml:space="preserve"> (GCPEA compilation) – </w:t>
      </w:r>
      <w:hyperlink r:id="rId34" w:history="1">
        <w:r w:rsidRPr="00705610">
          <w:rPr>
            <w:rStyle w:val="Hyperlink"/>
            <w:sz w:val="22"/>
            <w:szCs w:val="22"/>
          </w:rPr>
          <w:t>English</w:t>
        </w:r>
      </w:hyperlink>
      <w:r>
        <w:rPr>
          <w:sz w:val="22"/>
          <w:szCs w:val="22"/>
        </w:rPr>
        <w:t xml:space="preserve">, </w:t>
      </w:r>
      <w:hyperlink r:id="rId35" w:history="1">
        <w:r w:rsidRPr="00705610">
          <w:rPr>
            <w:rStyle w:val="Hyperlink"/>
            <w:sz w:val="22"/>
            <w:szCs w:val="22"/>
          </w:rPr>
          <w:t>French</w:t>
        </w:r>
      </w:hyperlink>
      <w:r>
        <w:rPr>
          <w:sz w:val="22"/>
          <w:szCs w:val="22"/>
        </w:rPr>
        <w:t xml:space="preserve">, </w:t>
      </w:r>
      <w:hyperlink r:id="rId36" w:history="1">
        <w:r w:rsidRPr="00705610">
          <w:rPr>
            <w:rStyle w:val="Hyperlink"/>
            <w:sz w:val="22"/>
            <w:szCs w:val="22"/>
          </w:rPr>
          <w:t>Arabic</w:t>
        </w:r>
      </w:hyperlink>
      <w:r>
        <w:rPr>
          <w:sz w:val="22"/>
          <w:szCs w:val="22"/>
        </w:rPr>
        <w:t xml:space="preserve">, </w:t>
      </w:r>
      <w:hyperlink r:id="rId37" w:history="1">
        <w:r w:rsidRPr="00705610">
          <w:rPr>
            <w:rStyle w:val="Hyperlink"/>
            <w:sz w:val="22"/>
            <w:szCs w:val="22"/>
          </w:rPr>
          <w:t>Spanish</w:t>
        </w:r>
      </w:hyperlink>
    </w:p>
    <w:p w14:paraId="73EC54B6" w14:textId="77777777" w:rsidR="00D22E55" w:rsidRPr="00705610" w:rsidRDefault="00D22E55" w:rsidP="00D22E55">
      <w:pPr>
        <w:pStyle w:val="ListParagraph"/>
        <w:rPr>
          <w:sz w:val="22"/>
          <w:szCs w:val="22"/>
        </w:rPr>
      </w:pPr>
    </w:p>
    <w:p w14:paraId="4C7AAD79" w14:textId="77777777" w:rsidR="00D22E55" w:rsidRDefault="00D22E55" w:rsidP="00A9649E">
      <w:pPr>
        <w:pStyle w:val="ListParagraph"/>
        <w:numPr>
          <w:ilvl w:val="0"/>
          <w:numId w:val="27"/>
        </w:numPr>
        <w:spacing w:after="0"/>
        <w:jc w:val="both"/>
        <w:rPr>
          <w:sz w:val="22"/>
          <w:szCs w:val="22"/>
        </w:rPr>
      </w:pPr>
      <w:r w:rsidRPr="00705610">
        <w:rPr>
          <w:b/>
          <w:sz w:val="22"/>
          <w:szCs w:val="22"/>
        </w:rPr>
        <w:t>Protection of schools from military use, examples of domestic law, guidance and practice</w:t>
      </w:r>
      <w:r>
        <w:rPr>
          <w:sz w:val="22"/>
          <w:szCs w:val="22"/>
        </w:rPr>
        <w:t xml:space="preserve"> (GCPEA compilation) – </w:t>
      </w:r>
      <w:hyperlink r:id="rId38" w:history="1">
        <w:r w:rsidRPr="00705610">
          <w:rPr>
            <w:rStyle w:val="Hyperlink"/>
            <w:sz w:val="22"/>
            <w:szCs w:val="22"/>
          </w:rPr>
          <w:t>English</w:t>
        </w:r>
      </w:hyperlink>
      <w:r>
        <w:rPr>
          <w:sz w:val="22"/>
          <w:szCs w:val="22"/>
        </w:rPr>
        <w:t xml:space="preserve">, </w:t>
      </w:r>
      <w:hyperlink r:id="rId39" w:history="1">
        <w:r w:rsidRPr="00705610">
          <w:rPr>
            <w:rStyle w:val="Hyperlink"/>
            <w:sz w:val="22"/>
            <w:szCs w:val="22"/>
          </w:rPr>
          <w:t>French</w:t>
        </w:r>
      </w:hyperlink>
      <w:r>
        <w:rPr>
          <w:sz w:val="22"/>
          <w:szCs w:val="22"/>
        </w:rPr>
        <w:t xml:space="preserve">, </w:t>
      </w:r>
      <w:hyperlink r:id="rId40" w:history="1">
        <w:r w:rsidRPr="00705610">
          <w:rPr>
            <w:rStyle w:val="Hyperlink"/>
            <w:sz w:val="22"/>
            <w:szCs w:val="22"/>
          </w:rPr>
          <w:t>Arabic</w:t>
        </w:r>
      </w:hyperlink>
      <w:r>
        <w:rPr>
          <w:sz w:val="22"/>
          <w:szCs w:val="22"/>
        </w:rPr>
        <w:t xml:space="preserve">, </w:t>
      </w:r>
      <w:hyperlink r:id="rId41" w:history="1">
        <w:r w:rsidRPr="00705610">
          <w:rPr>
            <w:rStyle w:val="Hyperlink"/>
            <w:sz w:val="22"/>
            <w:szCs w:val="22"/>
          </w:rPr>
          <w:t>Spanish</w:t>
        </w:r>
      </w:hyperlink>
    </w:p>
    <w:p w14:paraId="195DCF41" w14:textId="77777777" w:rsidR="00D22E55" w:rsidRPr="007A4121" w:rsidRDefault="00D22E55" w:rsidP="00D22E55">
      <w:pPr>
        <w:pStyle w:val="ListParagraph"/>
        <w:rPr>
          <w:sz w:val="22"/>
          <w:szCs w:val="22"/>
        </w:rPr>
      </w:pPr>
    </w:p>
    <w:p w14:paraId="3EE4B15A" w14:textId="48D4D634" w:rsidR="00D22E55" w:rsidRDefault="00106F15" w:rsidP="00A9649E">
      <w:pPr>
        <w:pStyle w:val="ListParagraph"/>
        <w:numPr>
          <w:ilvl w:val="0"/>
          <w:numId w:val="27"/>
        </w:numPr>
        <w:spacing w:after="0"/>
        <w:jc w:val="both"/>
        <w:rPr>
          <w:sz w:val="22"/>
          <w:szCs w:val="22"/>
        </w:rPr>
      </w:pPr>
      <w:hyperlink r:id="rId42" w:history="1">
        <w:r w:rsidR="00D22E55" w:rsidRPr="00734989">
          <w:rPr>
            <w:rStyle w:val="Hyperlink"/>
            <w:b/>
            <w:sz w:val="22"/>
            <w:szCs w:val="22"/>
          </w:rPr>
          <w:t>Compilat</w:t>
        </w:r>
        <w:r w:rsidR="00734989">
          <w:rPr>
            <w:rStyle w:val="Hyperlink"/>
            <w:b/>
            <w:sz w:val="22"/>
            <w:szCs w:val="22"/>
          </w:rPr>
          <w:t>ion of statements of support of</w:t>
        </w:r>
        <w:r w:rsidR="00D22E55" w:rsidRPr="00734989">
          <w:rPr>
            <w:rStyle w:val="Hyperlink"/>
            <w:b/>
            <w:sz w:val="22"/>
            <w:szCs w:val="22"/>
          </w:rPr>
          <w:t xml:space="preserve"> the </w:t>
        </w:r>
        <w:r w:rsidR="00734989">
          <w:rPr>
            <w:rStyle w:val="Hyperlink"/>
            <w:b/>
            <w:sz w:val="22"/>
            <w:szCs w:val="22"/>
          </w:rPr>
          <w:t xml:space="preserve">process of developing the Guidelines </w:t>
        </w:r>
      </w:hyperlink>
      <w:r w:rsidR="00734989">
        <w:rPr>
          <w:b/>
          <w:sz w:val="22"/>
          <w:szCs w:val="22"/>
        </w:rPr>
        <w:t xml:space="preserve"> </w:t>
      </w:r>
      <w:r w:rsidR="00D22E55">
        <w:rPr>
          <w:rStyle w:val="FootnoteReference"/>
          <w:sz w:val="22"/>
          <w:szCs w:val="22"/>
        </w:rPr>
        <w:footnoteReference w:id="11"/>
      </w:r>
    </w:p>
    <w:p w14:paraId="3267D7CB" w14:textId="77777777" w:rsidR="00D22E55" w:rsidRDefault="00D22E55" w:rsidP="00D22E55">
      <w:pPr>
        <w:pStyle w:val="Default"/>
        <w:jc w:val="both"/>
        <w:rPr>
          <w:rFonts w:asciiTheme="minorHAnsi" w:hAnsiTheme="minorHAnsi"/>
          <w:sz w:val="22"/>
          <w:szCs w:val="22"/>
          <w:lang w:val="en-GB"/>
        </w:rPr>
      </w:pPr>
    </w:p>
    <w:p w14:paraId="1D4D86BB" w14:textId="77777777" w:rsidR="0040285B" w:rsidRDefault="0040285B" w:rsidP="00D22E55">
      <w:pPr>
        <w:pStyle w:val="Default"/>
        <w:jc w:val="both"/>
        <w:rPr>
          <w:rFonts w:asciiTheme="minorHAnsi" w:hAnsiTheme="minorHAnsi"/>
          <w:sz w:val="22"/>
          <w:szCs w:val="22"/>
          <w:lang w:val="en-GB"/>
        </w:rPr>
      </w:pPr>
    </w:p>
    <w:p w14:paraId="42366E01" w14:textId="196FA9B2" w:rsidR="0040285B" w:rsidRPr="0040285B" w:rsidRDefault="0040285B" w:rsidP="00D22E55">
      <w:pPr>
        <w:pStyle w:val="Default"/>
        <w:jc w:val="both"/>
        <w:rPr>
          <w:rFonts w:asciiTheme="minorHAnsi" w:hAnsiTheme="minorHAnsi"/>
          <w:b/>
          <w:sz w:val="22"/>
          <w:szCs w:val="22"/>
          <w:lang w:val="en-GB"/>
        </w:rPr>
      </w:pPr>
      <w:r w:rsidRPr="0040285B">
        <w:rPr>
          <w:rFonts w:asciiTheme="minorHAnsi" w:hAnsiTheme="minorHAnsi"/>
          <w:b/>
          <w:sz w:val="22"/>
          <w:szCs w:val="22"/>
          <w:lang w:val="en-GB"/>
        </w:rPr>
        <w:t>Resources for internal use:</w:t>
      </w:r>
    </w:p>
    <w:p w14:paraId="3D26ED70" w14:textId="77777777" w:rsidR="0040285B" w:rsidRDefault="0040285B" w:rsidP="00D22E55">
      <w:pPr>
        <w:pStyle w:val="Default"/>
        <w:jc w:val="both"/>
        <w:rPr>
          <w:rFonts w:asciiTheme="minorHAnsi" w:hAnsiTheme="minorHAnsi"/>
          <w:sz w:val="22"/>
          <w:szCs w:val="22"/>
          <w:lang w:val="en-GB"/>
        </w:rPr>
      </w:pPr>
    </w:p>
    <w:p w14:paraId="79CCFF1C" w14:textId="5DBD30F9" w:rsidR="00734989" w:rsidRPr="00734989" w:rsidRDefault="00106F15" w:rsidP="00734989">
      <w:pPr>
        <w:pStyle w:val="ListParagraph"/>
        <w:numPr>
          <w:ilvl w:val="0"/>
          <w:numId w:val="28"/>
        </w:numPr>
        <w:spacing w:after="0"/>
        <w:jc w:val="both"/>
        <w:rPr>
          <w:b/>
          <w:sz w:val="22"/>
          <w:szCs w:val="22"/>
        </w:rPr>
      </w:pPr>
      <w:hyperlink r:id="rId43" w:history="1">
        <w:r w:rsidR="00734989" w:rsidRPr="00734989">
          <w:rPr>
            <w:rStyle w:val="Hyperlink"/>
            <w:b/>
            <w:sz w:val="22"/>
            <w:szCs w:val="22"/>
          </w:rPr>
          <w:t>Core messages on military use of schools</w:t>
        </w:r>
      </w:hyperlink>
    </w:p>
    <w:p w14:paraId="3809408A" w14:textId="77777777" w:rsidR="00734989" w:rsidRPr="00A7164C" w:rsidRDefault="00734989" w:rsidP="00734989">
      <w:pPr>
        <w:pStyle w:val="ListParagraph"/>
        <w:spacing w:after="0"/>
        <w:ind w:left="360"/>
        <w:jc w:val="both"/>
        <w:rPr>
          <w:sz w:val="22"/>
          <w:szCs w:val="22"/>
        </w:rPr>
      </w:pPr>
    </w:p>
    <w:p w14:paraId="4863CF01" w14:textId="4DFA066B" w:rsidR="00734989" w:rsidRPr="00734989" w:rsidRDefault="00106F15" w:rsidP="00734989">
      <w:pPr>
        <w:pStyle w:val="ListParagraph"/>
        <w:numPr>
          <w:ilvl w:val="0"/>
          <w:numId w:val="28"/>
        </w:numPr>
        <w:spacing w:after="0"/>
        <w:jc w:val="both"/>
        <w:rPr>
          <w:b/>
          <w:sz w:val="22"/>
          <w:szCs w:val="22"/>
        </w:rPr>
      </w:pPr>
      <w:hyperlink r:id="rId44" w:history="1">
        <w:r w:rsidR="00734989" w:rsidRPr="00734989">
          <w:rPr>
            <w:rStyle w:val="Hyperlink"/>
            <w:b/>
            <w:sz w:val="22"/>
            <w:szCs w:val="22"/>
          </w:rPr>
          <w:t>Talking points for recurring legal questions</w:t>
        </w:r>
      </w:hyperlink>
    </w:p>
    <w:p w14:paraId="597EA16E" w14:textId="77777777" w:rsidR="00C97D1F" w:rsidRDefault="00C97D1F" w:rsidP="00D22E55">
      <w:pPr>
        <w:pStyle w:val="Default"/>
        <w:jc w:val="both"/>
        <w:rPr>
          <w:rFonts w:asciiTheme="minorHAnsi" w:hAnsiTheme="minorHAnsi"/>
          <w:sz w:val="22"/>
          <w:szCs w:val="22"/>
          <w:lang w:val="en-GB"/>
        </w:rPr>
      </w:pPr>
    </w:p>
    <w:p w14:paraId="25274110" w14:textId="77777777" w:rsidR="00734989" w:rsidRDefault="00734989" w:rsidP="00C97D1F">
      <w:pPr>
        <w:spacing w:after="0"/>
        <w:jc w:val="both"/>
        <w:rPr>
          <w:b/>
          <w:sz w:val="22"/>
          <w:szCs w:val="22"/>
        </w:rPr>
      </w:pPr>
    </w:p>
    <w:p w14:paraId="1ED71779" w14:textId="77777777" w:rsidR="00C97D1F" w:rsidRDefault="00C97D1F" w:rsidP="00C97D1F">
      <w:pPr>
        <w:spacing w:after="0"/>
        <w:jc w:val="both"/>
        <w:rPr>
          <w:b/>
          <w:sz w:val="22"/>
          <w:szCs w:val="22"/>
        </w:rPr>
      </w:pPr>
      <w:r w:rsidRPr="00A7164C">
        <w:rPr>
          <w:b/>
          <w:sz w:val="22"/>
          <w:szCs w:val="22"/>
        </w:rPr>
        <w:t>Upcoming resources:</w:t>
      </w:r>
    </w:p>
    <w:p w14:paraId="6DF7D35C" w14:textId="77777777" w:rsidR="00734989" w:rsidRPr="00A7164C" w:rsidRDefault="00734989" w:rsidP="00C97D1F">
      <w:pPr>
        <w:spacing w:after="0"/>
        <w:jc w:val="both"/>
        <w:rPr>
          <w:b/>
          <w:sz w:val="22"/>
          <w:szCs w:val="22"/>
        </w:rPr>
      </w:pPr>
    </w:p>
    <w:p w14:paraId="26D24A6B" w14:textId="77777777" w:rsidR="00C97D1F" w:rsidRPr="00A7164C" w:rsidRDefault="00C97D1F" w:rsidP="00A9649E">
      <w:pPr>
        <w:pStyle w:val="ListParagraph"/>
        <w:numPr>
          <w:ilvl w:val="0"/>
          <w:numId w:val="28"/>
        </w:numPr>
        <w:spacing w:after="0"/>
        <w:jc w:val="both"/>
        <w:rPr>
          <w:sz w:val="22"/>
          <w:szCs w:val="22"/>
        </w:rPr>
      </w:pPr>
      <w:r w:rsidRPr="00A7164C">
        <w:rPr>
          <w:sz w:val="22"/>
          <w:szCs w:val="22"/>
        </w:rPr>
        <w:t>Guide for social media engagement</w:t>
      </w:r>
    </w:p>
    <w:p w14:paraId="6C7DB87F" w14:textId="77777777" w:rsidR="00C97D1F" w:rsidRDefault="00C97D1F" w:rsidP="00C97D1F">
      <w:pPr>
        <w:spacing w:after="0"/>
        <w:jc w:val="both"/>
        <w:rPr>
          <w:sz w:val="22"/>
          <w:szCs w:val="22"/>
        </w:rPr>
      </w:pPr>
    </w:p>
    <w:p w14:paraId="2E1BC0DF" w14:textId="77777777" w:rsidR="00C97D1F" w:rsidRPr="00257A29" w:rsidRDefault="00C97D1F" w:rsidP="00C97D1F">
      <w:pPr>
        <w:spacing w:after="0"/>
        <w:jc w:val="both"/>
        <w:rPr>
          <w:sz w:val="22"/>
          <w:szCs w:val="22"/>
        </w:rPr>
      </w:pPr>
    </w:p>
    <w:p w14:paraId="5F310E3A" w14:textId="488724B8" w:rsidR="000D7F05" w:rsidRDefault="00D22E55" w:rsidP="000D7F05">
      <w:pPr>
        <w:pStyle w:val="Default"/>
        <w:jc w:val="both"/>
        <w:rPr>
          <w:rFonts w:asciiTheme="minorHAnsi" w:hAnsiTheme="minorHAnsi"/>
          <w:sz w:val="22"/>
          <w:szCs w:val="22"/>
          <w:lang w:val="en-US"/>
        </w:rPr>
      </w:pPr>
      <w:r>
        <w:rPr>
          <w:rFonts w:asciiTheme="minorHAnsi" w:hAnsiTheme="minorHAnsi"/>
          <w:sz w:val="22"/>
          <w:szCs w:val="22"/>
          <w:lang w:val="en-US"/>
        </w:rPr>
        <w:t xml:space="preserve">In addition, an internal coordination </w:t>
      </w:r>
      <w:hyperlink r:id="rId45" w:history="1">
        <w:r w:rsidRPr="00734989">
          <w:rPr>
            <w:rStyle w:val="Hyperlink"/>
            <w:rFonts w:asciiTheme="minorHAnsi" w:hAnsiTheme="minorHAnsi"/>
            <w:b/>
            <w:sz w:val="22"/>
            <w:szCs w:val="22"/>
            <w:lang w:val="en-US"/>
          </w:rPr>
          <w:t>webpage</w:t>
        </w:r>
      </w:hyperlink>
      <w:r>
        <w:rPr>
          <w:rFonts w:asciiTheme="minorHAnsi" w:hAnsiTheme="minorHAnsi"/>
          <w:sz w:val="22"/>
          <w:szCs w:val="22"/>
          <w:lang w:val="en-US"/>
        </w:rPr>
        <w:t xml:space="preserve"> </w:t>
      </w:r>
      <w:r w:rsidR="00734989">
        <w:rPr>
          <w:rFonts w:asciiTheme="minorHAnsi" w:hAnsiTheme="minorHAnsi"/>
          <w:sz w:val="22"/>
          <w:szCs w:val="22"/>
          <w:lang w:val="en-US"/>
        </w:rPr>
        <w:t>has been</w:t>
      </w:r>
      <w:r>
        <w:rPr>
          <w:rFonts w:asciiTheme="minorHAnsi" w:hAnsiTheme="minorHAnsi"/>
          <w:sz w:val="22"/>
          <w:szCs w:val="22"/>
          <w:lang w:val="en-US"/>
        </w:rPr>
        <w:t xml:space="preserve"> set up to provide up-to-date information, new resources and track advocacy activities i</w:t>
      </w:r>
      <w:r w:rsidR="00734989">
        <w:rPr>
          <w:rFonts w:asciiTheme="minorHAnsi" w:hAnsiTheme="minorHAnsi"/>
          <w:sz w:val="22"/>
          <w:szCs w:val="22"/>
          <w:lang w:val="en-US"/>
        </w:rPr>
        <w:t>n the various target countries:</w:t>
      </w:r>
    </w:p>
    <w:p w14:paraId="46711882" w14:textId="77777777" w:rsidR="00D73493" w:rsidRDefault="00D73493" w:rsidP="000D7F05">
      <w:pPr>
        <w:pStyle w:val="Default"/>
        <w:jc w:val="both"/>
        <w:rPr>
          <w:rFonts w:asciiTheme="minorHAnsi" w:hAnsiTheme="minorHAnsi"/>
          <w:sz w:val="22"/>
          <w:szCs w:val="22"/>
          <w:lang w:val="en-US"/>
        </w:rPr>
      </w:pPr>
    </w:p>
    <w:p w14:paraId="78B94DCB" w14:textId="77777777" w:rsidR="00D73493" w:rsidRDefault="00D73493" w:rsidP="000D7F05">
      <w:pPr>
        <w:pStyle w:val="Default"/>
        <w:jc w:val="both"/>
        <w:rPr>
          <w:rFonts w:asciiTheme="minorHAnsi" w:hAnsiTheme="minorHAnsi"/>
          <w:sz w:val="22"/>
          <w:szCs w:val="22"/>
          <w:lang w:val="en-US"/>
        </w:rPr>
      </w:pPr>
    </w:p>
    <w:p w14:paraId="77EA5091" w14:textId="6EE49459" w:rsidR="00D73493" w:rsidRPr="00D73493" w:rsidRDefault="00D73493" w:rsidP="00D73493">
      <w:pPr>
        <w:pStyle w:val="Heading1"/>
        <w:spacing w:before="0"/>
      </w:pPr>
      <w:bookmarkStart w:id="30" w:name="_Toc412485709"/>
      <w:r w:rsidRPr="00D73493">
        <w:t>Appendices:</w:t>
      </w:r>
      <w:bookmarkEnd w:id="30"/>
    </w:p>
    <w:bookmarkStart w:id="31" w:name="_Toc412485710"/>
    <w:p w14:paraId="6A03D1E6" w14:textId="01213C0B" w:rsidR="00C97D1F" w:rsidRDefault="00734989" w:rsidP="00D73493">
      <w:pPr>
        <w:pStyle w:val="Heading2"/>
        <w:rPr>
          <w:lang w:val="en-US"/>
        </w:rPr>
      </w:pPr>
      <w:r>
        <w:rPr>
          <w:lang w:val="en-US"/>
        </w:rPr>
        <w:fldChar w:fldCharType="begin"/>
      </w:r>
      <w:r>
        <w:rPr>
          <w:lang w:val="en-US"/>
        </w:rPr>
        <w:instrText xml:space="preserve"> HYPERLINK "http://www.protectingeducation.org/sites/default/files/documents/guidelines_advocacy_strategy-appendix_b_calendar_of_events.docx" </w:instrText>
      </w:r>
      <w:r>
        <w:rPr>
          <w:lang w:val="en-US"/>
        </w:rPr>
        <w:fldChar w:fldCharType="separate"/>
      </w:r>
      <w:r w:rsidR="00D73493" w:rsidRPr="00734989">
        <w:rPr>
          <w:rStyle w:val="Hyperlink"/>
          <w:lang w:val="en-US"/>
        </w:rPr>
        <w:t>Appendix A: Calendar of advocacy opportunities</w:t>
      </w:r>
      <w:bookmarkEnd w:id="31"/>
      <w:r>
        <w:rPr>
          <w:lang w:val="en-US"/>
        </w:rPr>
        <w:fldChar w:fldCharType="end"/>
      </w:r>
    </w:p>
    <w:bookmarkStart w:id="32" w:name="_Toc412485711"/>
    <w:p w14:paraId="2A1D4AC0" w14:textId="5A5ACD7C" w:rsidR="00D73493" w:rsidRDefault="002A4813" w:rsidP="00D73493">
      <w:pPr>
        <w:pStyle w:val="Heading2"/>
        <w:rPr>
          <w:lang w:val="en-US"/>
        </w:rPr>
      </w:pPr>
      <w:r>
        <w:rPr>
          <w:lang w:val="en-US"/>
        </w:rPr>
        <w:fldChar w:fldCharType="begin"/>
      </w:r>
      <w:r>
        <w:rPr>
          <w:lang w:val="en-US"/>
        </w:rPr>
        <w:instrText xml:space="preserve"> HYPERLINK "http://www.protectingeducation.org/sites/default/files/documents/guidelines-country_outreach_overview_for_gcpea-10march2015.pdf" </w:instrText>
      </w:r>
      <w:r>
        <w:rPr>
          <w:lang w:val="en-US"/>
        </w:rPr>
        <w:fldChar w:fldCharType="separate"/>
      </w:r>
      <w:r w:rsidR="00D73493" w:rsidRPr="002A4813">
        <w:rPr>
          <w:rStyle w:val="Hyperlink"/>
          <w:lang w:val="en-US"/>
        </w:rPr>
        <w:t>Appendix B: Country focal point allocat</w:t>
      </w:r>
      <w:bookmarkStart w:id="33" w:name="_GoBack"/>
      <w:bookmarkEnd w:id="33"/>
      <w:r w:rsidR="00D73493" w:rsidRPr="002A4813">
        <w:rPr>
          <w:rStyle w:val="Hyperlink"/>
          <w:lang w:val="en-US"/>
        </w:rPr>
        <w:t>i</w:t>
      </w:r>
      <w:r w:rsidR="00D73493" w:rsidRPr="002A4813">
        <w:rPr>
          <w:rStyle w:val="Hyperlink"/>
          <w:lang w:val="en-US"/>
        </w:rPr>
        <w:t>on</w:t>
      </w:r>
      <w:bookmarkEnd w:id="32"/>
      <w:r>
        <w:rPr>
          <w:lang w:val="en-US"/>
        </w:rPr>
        <w:fldChar w:fldCharType="end"/>
      </w:r>
    </w:p>
    <w:bookmarkStart w:id="34" w:name="_Toc412485712"/>
    <w:p w14:paraId="4C666F54" w14:textId="50B89DB3" w:rsidR="00D73493" w:rsidRPr="00C97D1F" w:rsidRDefault="00734989" w:rsidP="00D73493">
      <w:pPr>
        <w:pStyle w:val="Heading2"/>
        <w:rPr>
          <w:lang w:val="en-US"/>
        </w:rPr>
      </w:pPr>
      <w:r>
        <w:rPr>
          <w:lang w:val="en-US"/>
        </w:rPr>
        <w:fldChar w:fldCharType="begin"/>
      </w:r>
      <w:r>
        <w:rPr>
          <w:lang w:val="en-US"/>
        </w:rPr>
        <w:instrText xml:space="preserve"> HYPERLINK "http://www.protectingeducation.org/sites/default/files/documents/guidelines_advocacy_strategy-appendix_c_education_coalitions.docx" </w:instrText>
      </w:r>
      <w:r>
        <w:rPr>
          <w:lang w:val="en-US"/>
        </w:rPr>
        <w:fldChar w:fldCharType="separate"/>
      </w:r>
      <w:r w:rsidR="00D73493" w:rsidRPr="00734989">
        <w:rPr>
          <w:rStyle w:val="Hyperlink"/>
          <w:lang w:val="en-US"/>
        </w:rPr>
        <w:t>Appendix C: Contact list for national education coalitions</w:t>
      </w:r>
      <w:bookmarkEnd w:id="34"/>
      <w:r>
        <w:rPr>
          <w:lang w:val="en-US"/>
        </w:rPr>
        <w:fldChar w:fldCharType="end"/>
      </w:r>
    </w:p>
    <w:sectPr w:rsidR="00D73493" w:rsidRPr="00C97D1F" w:rsidSect="007A4121">
      <w:headerReference w:type="even" r:id="rId46"/>
      <w:headerReference w:type="default" r:id="rId47"/>
      <w:footerReference w:type="even" r:id="rId48"/>
      <w:footerReference w:type="default" r:id="rId49"/>
      <w:headerReference w:type="first" r:id="rId50"/>
      <w:footerReference w:type="first" r:id="rId51"/>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B098F" w14:textId="77777777" w:rsidR="00106F15" w:rsidRDefault="00106F15" w:rsidP="0015324C">
      <w:pPr>
        <w:spacing w:after="0"/>
      </w:pPr>
      <w:r>
        <w:separator/>
      </w:r>
    </w:p>
  </w:endnote>
  <w:endnote w:type="continuationSeparator" w:id="0">
    <w:p w14:paraId="62A3746F" w14:textId="77777777" w:rsidR="00106F15" w:rsidRDefault="00106F15" w:rsidP="001532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87984" w14:textId="77777777" w:rsidR="00BF5D31" w:rsidRDefault="00BF5D31" w:rsidP="00153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A8F99" w14:textId="77777777" w:rsidR="00BF5D31" w:rsidRDefault="00BF5D31" w:rsidP="001532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1BC1" w14:textId="77777777" w:rsidR="00BF5D31" w:rsidRDefault="00BF5D31" w:rsidP="00153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210">
      <w:rPr>
        <w:rStyle w:val="PageNumber"/>
        <w:noProof/>
      </w:rPr>
      <w:t>4</w:t>
    </w:r>
    <w:r>
      <w:rPr>
        <w:rStyle w:val="PageNumber"/>
      </w:rPr>
      <w:fldChar w:fldCharType="end"/>
    </w:r>
  </w:p>
  <w:p w14:paraId="1173B22D" w14:textId="77777777" w:rsidR="00BF5D31" w:rsidRDefault="00BF5D31" w:rsidP="001532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87C62" w14:textId="77777777" w:rsidR="00BF5D31" w:rsidRDefault="00BF5D31" w:rsidP="00153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88E53" w14:textId="77777777" w:rsidR="00BF5D31" w:rsidRDefault="00BF5D31" w:rsidP="0015324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03FC" w14:textId="77777777" w:rsidR="00BF5D31" w:rsidRDefault="00BF5D31" w:rsidP="00153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85B">
      <w:rPr>
        <w:rStyle w:val="PageNumber"/>
        <w:noProof/>
      </w:rPr>
      <w:t>15</w:t>
    </w:r>
    <w:r>
      <w:rPr>
        <w:rStyle w:val="PageNumber"/>
      </w:rPr>
      <w:fldChar w:fldCharType="end"/>
    </w:r>
  </w:p>
  <w:p w14:paraId="2BF9ABB2" w14:textId="77777777" w:rsidR="00BF5D31" w:rsidRDefault="00BF5D31" w:rsidP="0015324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D1B9" w14:textId="77777777" w:rsidR="00BF5D31" w:rsidRDefault="00BF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9127" w14:textId="77777777" w:rsidR="00106F15" w:rsidRDefault="00106F15" w:rsidP="0015324C">
      <w:pPr>
        <w:spacing w:after="0"/>
      </w:pPr>
      <w:r>
        <w:separator/>
      </w:r>
    </w:p>
  </w:footnote>
  <w:footnote w:type="continuationSeparator" w:id="0">
    <w:p w14:paraId="7C61DF96" w14:textId="77777777" w:rsidR="00106F15" w:rsidRDefault="00106F15" w:rsidP="0015324C">
      <w:pPr>
        <w:spacing w:after="0"/>
      </w:pPr>
      <w:r>
        <w:continuationSeparator/>
      </w:r>
    </w:p>
  </w:footnote>
  <w:footnote w:id="1">
    <w:p w14:paraId="4B58CF43" w14:textId="77777777" w:rsidR="00BF5D31" w:rsidRPr="00F7656C" w:rsidRDefault="00BF5D31" w:rsidP="00AC0DDF">
      <w:pPr>
        <w:pStyle w:val="FootnoteText"/>
        <w:rPr>
          <w:sz w:val="18"/>
          <w:szCs w:val="18"/>
          <w:lang w:val="en-US"/>
        </w:rPr>
      </w:pPr>
      <w:r w:rsidRPr="00F7656C">
        <w:rPr>
          <w:rStyle w:val="FootnoteReference"/>
          <w:sz w:val="18"/>
          <w:szCs w:val="18"/>
        </w:rPr>
        <w:footnoteRef/>
      </w:r>
      <w:r w:rsidRPr="00F7656C">
        <w:rPr>
          <w:sz w:val="18"/>
          <w:szCs w:val="18"/>
          <w:lang w:val="en-US"/>
        </w:rPr>
        <w:t xml:space="preserve"> Source : Global Coalition to Protect Education from Attack (</w:t>
      </w:r>
      <w:hyperlink r:id="rId1" w:history="1">
        <w:r w:rsidRPr="00F7656C">
          <w:rPr>
            <w:rStyle w:val="Hyperlink"/>
            <w:sz w:val="18"/>
            <w:szCs w:val="18"/>
            <w:lang w:val="en-US"/>
          </w:rPr>
          <w:t>www.protectingeducation.org</w:t>
        </w:r>
      </w:hyperlink>
      <w:r w:rsidRPr="00F7656C">
        <w:rPr>
          <w:sz w:val="18"/>
          <w:szCs w:val="18"/>
          <w:lang w:val="en-US"/>
        </w:rPr>
        <w:t xml:space="preserve">) </w:t>
      </w:r>
    </w:p>
  </w:footnote>
  <w:footnote w:id="2">
    <w:p w14:paraId="2A2CBF25" w14:textId="16480661" w:rsidR="00BF5D31" w:rsidRPr="00D22E55" w:rsidRDefault="00BF5D31">
      <w:pPr>
        <w:pStyle w:val="FootnoteText"/>
        <w:rPr>
          <w:sz w:val="18"/>
          <w:szCs w:val="18"/>
        </w:rPr>
      </w:pPr>
      <w:r>
        <w:rPr>
          <w:rStyle w:val="FootnoteReference"/>
        </w:rPr>
        <w:footnoteRef/>
      </w:r>
      <w:r>
        <w:t xml:space="preserve"> </w:t>
      </w:r>
      <w:r w:rsidRPr="00D22E55">
        <w:rPr>
          <w:sz w:val="18"/>
          <w:szCs w:val="18"/>
        </w:rPr>
        <w:t>Austria, Spain, Philippines, Jordan, New Zealand, Nigeria, Cote d’Ivoire</w:t>
      </w:r>
    </w:p>
  </w:footnote>
  <w:footnote w:id="3">
    <w:p w14:paraId="0D4EF5A5" w14:textId="3CC43F83" w:rsidR="00BF5D31" w:rsidRPr="00F2539B" w:rsidRDefault="00BF5D31" w:rsidP="005F3987">
      <w:pPr>
        <w:pStyle w:val="FootnoteText"/>
        <w:rPr>
          <w:lang w:val="en-US"/>
        </w:rPr>
      </w:pPr>
      <w:r>
        <w:rPr>
          <w:rStyle w:val="FootnoteReference"/>
        </w:rPr>
        <w:footnoteRef/>
      </w:r>
      <w:r>
        <w:t xml:space="preserve"> </w:t>
      </w:r>
      <w:r w:rsidRPr="000A0274">
        <w:rPr>
          <w:sz w:val="18"/>
          <w:szCs w:val="18"/>
        </w:rPr>
        <w:t>Following the end of phase 1 a review of the strategy will be required to reflect the change and commitment achieved by June 2015, and where advocacy resou</w:t>
      </w:r>
      <w:r w:rsidRPr="00F80276">
        <w:rPr>
          <w:sz w:val="18"/>
          <w:szCs w:val="18"/>
        </w:rPr>
        <w:t>rces will be focused thereafter.</w:t>
      </w:r>
      <w:r>
        <w:rPr>
          <w:sz w:val="18"/>
          <w:szCs w:val="18"/>
        </w:rPr>
        <w:t xml:space="preserve"> </w:t>
      </w:r>
    </w:p>
  </w:footnote>
  <w:footnote w:id="4">
    <w:p w14:paraId="7DFEF074" w14:textId="167049F9" w:rsidR="00BF5D31" w:rsidRPr="00BB63C3" w:rsidRDefault="00BF5D31">
      <w:pPr>
        <w:pStyle w:val="FootnoteText"/>
        <w:rPr>
          <w:lang w:val="en-US"/>
        </w:rPr>
      </w:pPr>
      <w:r>
        <w:rPr>
          <w:rStyle w:val="FootnoteReference"/>
        </w:rPr>
        <w:footnoteRef/>
      </w:r>
      <w:r>
        <w:t xml:space="preserve"> </w:t>
      </w:r>
      <w:r w:rsidRPr="00E13690">
        <w:rPr>
          <w:sz w:val="18"/>
          <w:szCs w:val="18"/>
        </w:rPr>
        <w:t>The formalities of endorsements post-June conference are still unknown and this objective may need to be refined at a later stage.</w:t>
      </w:r>
    </w:p>
  </w:footnote>
  <w:footnote w:id="5">
    <w:p w14:paraId="79178B27" w14:textId="351EF793" w:rsidR="00BF5D31" w:rsidRPr="00AE6AB7" w:rsidRDefault="00BF5D31">
      <w:pPr>
        <w:pStyle w:val="FootnoteText"/>
        <w:rPr>
          <w:lang w:val="en-US"/>
        </w:rPr>
      </w:pPr>
      <w:r>
        <w:rPr>
          <w:rStyle w:val="FootnoteReference"/>
        </w:rPr>
        <w:footnoteRef/>
      </w:r>
      <w:r>
        <w:t xml:space="preserve"> </w:t>
      </w:r>
      <w:r w:rsidRPr="00AE6AB7">
        <w:rPr>
          <w:sz w:val="18"/>
          <w:szCs w:val="18"/>
        </w:rPr>
        <w:t>GCPEA will be working in cooperation with Geneva Call to achieve this objective.</w:t>
      </w:r>
    </w:p>
  </w:footnote>
  <w:footnote w:id="6">
    <w:p w14:paraId="5586BD19" w14:textId="3217919E" w:rsidR="00BF5D31" w:rsidRPr="001C4BD8" w:rsidRDefault="00BF5D31">
      <w:pPr>
        <w:pStyle w:val="FootnoteText"/>
      </w:pPr>
      <w:r>
        <w:rPr>
          <w:rStyle w:val="FootnoteReference"/>
        </w:rPr>
        <w:footnoteRef/>
      </w:r>
      <w:r>
        <w:t xml:space="preserve"> </w:t>
      </w:r>
      <w:r w:rsidRPr="00D22E55">
        <w:rPr>
          <w:sz w:val="18"/>
          <w:szCs w:val="18"/>
        </w:rPr>
        <w:t xml:space="preserve">Countries </w:t>
      </w:r>
      <w:r w:rsidRPr="00D22E55">
        <w:rPr>
          <w:color w:val="FF6600"/>
          <w:sz w:val="18"/>
          <w:szCs w:val="18"/>
        </w:rPr>
        <w:t>highlighted in orange</w:t>
      </w:r>
      <w:r w:rsidRPr="00D22E55">
        <w:rPr>
          <w:sz w:val="18"/>
          <w:szCs w:val="18"/>
        </w:rPr>
        <w:t xml:space="preserve"> below are documented as where military use of </w:t>
      </w:r>
      <w:proofErr w:type="spellStart"/>
      <w:r w:rsidRPr="00D22E55">
        <w:rPr>
          <w:sz w:val="18"/>
          <w:szCs w:val="18"/>
        </w:rPr>
        <w:t>of</w:t>
      </w:r>
      <w:proofErr w:type="spellEnd"/>
      <w:r w:rsidRPr="00D22E55">
        <w:rPr>
          <w:sz w:val="18"/>
          <w:szCs w:val="18"/>
        </w:rPr>
        <w:t xml:space="preserve"> schools and/or universities has occurred.</w:t>
      </w:r>
    </w:p>
  </w:footnote>
  <w:footnote w:id="7">
    <w:p w14:paraId="053BFB03" w14:textId="77777777" w:rsidR="00BF5D31" w:rsidRPr="00D22E55" w:rsidRDefault="00BF5D31" w:rsidP="009443B7">
      <w:pPr>
        <w:pStyle w:val="FootnoteText"/>
        <w:rPr>
          <w:sz w:val="18"/>
          <w:szCs w:val="18"/>
          <w:lang w:val="en-US"/>
        </w:rPr>
      </w:pPr>
      <w:r>
        <w:rPr>
          <w:rStyle w:val="FootnoteReference"/>
        </w:rPr>
        <w:footnoteRef/>
      </w:r>
      <w:r>
        <w:t xml:space="preserve"> </w:t>
      </w:r>
      <w:r w:rsidRPr="00D22E55">
        <w:rPr>
          <w:sz w:val="18"/>
          <w:szCs w:val="18"/>
          <w:lang w:val="en-US"/>
        </w:rPr>
        <w:t xml:space="preserve">Overview of countries and groups with which Geneva Call is engaging : </w:t>
      </w:r>
      <w:hyperlink r:id="rId2" w:history="1">
        <w:r w:rsidRPr="00D22E55">
          <w:rPr>
            <w:rStyle w:val="Hyperlink"/>
            <w:sz w:val="18"/>
            <w:szCs w:val="18"/>
            <w:lang w:val="en-US"/>
          </w:rPr>
          <w:t>http://www.genevacall.org/how-we-work/armed-non-state-actors/</w:t>
        </w:r>
      </w:hyperlink>
      <w:r w:rsidRPr="00D22E55">
        <w:rPr>
          <w:sz w:val="18"/>
          <w:szCs w:val="18"/>
          <w:lang w:val="en-US"/>
        </w:rPr>
        <w:t xml:space="preserve"> </w:t>
      </w:r>
    </w:p>
  </w:footnote>
  <w:footnote w:id="8">
    <w:p w14:paraId="4B54EC74" w14:textId="04F89BF7" w:rsidR="00BF5D31" w:rsidRPr="00D22E55" w:rsidRDefault="00BF5D31">
      <w:pPr>
        <w:pStyle w:val="FootnoteText"/>
        <w:rPr>
          <w:sz w:val="18"/>
          <w:szCs w:val="18"/>
        </w:rPr>
      </w:pPr>
      <w:r>
        <w:rPr>
          <w:rStyle w:val="FootnoteReference"/>
        </w:rPr>
        <w:footnoteRef/>
      </w:r>
      <w:r>
        <w:t xml:space="preserve"> </w:t>
      </w:r>
      <w:r w:rsidRPr="00D22E55">
        <w:rPr>
          <w:rFonts w:eastAsia="Calibri" w:cs="Times New Roman"/>
          <w:sz w:val="18"/>
          <w:szCs w:val="18"/>
          <w:lang w:val="en-US" w:eastAsia="en-US"/>
        </w:rPr>
        <w:t>Resolutions 1998 (2011) and 2143 (2014)</w:t>
      </w:r>
    </w:p>
  </w:footnote>
  <w:footnote w:id="9">
    <w:p w14:paraId="487415A7" w14:textId="76EE181A" w:rsidR="00BF5D31" w:rsidRPr="00D22E55" w:rsidRDefault="00BF5D31">
      <w:pPr>
        <w:pStyle w:val="FootnoteText"/>
        <w:rPr>
          <w:sz w:val="18"/>
          <w:szCs w:val="18"/>
          <w:lang w:val="en-US"/>
        </w:rPr>
      </w:pPr>
      <w:r w:rsidRPr="00D22E55">
        <w:rPr>
          <w:rStyle w:val="FootnoteReference"/>
          <w:sz w:val="18"/>
          <w:szCs w:val="18"/>
        </w:rPr>
        <w:footnoteRef/>
      </w:r>
      <w:r w:rsidRPr="00D22E55">
        <w:rPr>
          <w:sz w:val="18"/>
          <w:szCs w:val="18"/>
        </w:rPr>
        <w:t xml:space="preserve"> See OSRSG-CAAC Guidance Note on Security Council Resolution 1998, Annex V: </w:t>
      </w:r>
      <w:hyperlink r:id="rId3" w:history="1">
        <w:r w:rsidRPr="00D22E55">
          <w:rPr>
            <w:rStyle w:val="Hyperlink"/>
            <w:sz w:val="18"/>
            <w:szCs w:val="18"/>
          </w:rPr>
          <w:t>https://childrenandarmedconflict.un.org/publications/AttacksonSchoolsHospitals.pdf</w:t>
        </w:r>
      </w:hyperlink>
      <w:r w:rsidRPr="00D22E55">
        <w:rPr>
          <w:sz w:val="18"/>
          <w:szCs w:val="18"/>
        </w:rPr>
        <w:t xml:space="preserve"> </w:t>
      </w:r>
    </w:p>
  </w:footnote>
  <w:footnote w:id="10">
    <w:p w14:paraId="1145F68B" w14:textId="1680E0EC" w:rsidR="00BF5D31" w:rsidRPr="000D7F05" w:rsidRDefault="00BF5D31">
      <w:pPr>
        <w:pStyle w:val="FootnoteText"/>
      </w:pPr>
      <w:r>
        <w:rPr>
          <w:rStyle w:val="FootnoteReference"/>
        </w:rPr>
        <w:footnoteRef/>
      </w:r>
      <w:r>
        <w:t xml:space="preserve"> </w:t>
      </w:r>
      <w:r w:rsidRPr="000D7F05">
        <w:rPr>
          <w:sz w:val="18"/>
          <w:szCs w:val="18"/>
        </w:rPr>
        <w:t xml:space="preserve">Filipa Schmitz Guinote: </w:t>
      </w:r>
      <w:hyperlink r:id="rId4" w:history="1">
        <w:r w:rsidRPr="000D7F05">
          <w:rPr>
            <w:rStyle w:val="Hyperlink"/>
            <w:sz w:val="18"/>
            <w:szCs w:val="18"/>
          </w:rPr>
          <w:t>fguinote@protectingeducation.org</w:t>
        </w:r>
      </w:hyperlink>
      <w:r>
        <w:t xml:space="preserve"> </w:t>
      </w:r>
    </w:p>
  </w:footnote>
  <w:footnote w:id="11">
    <w:p w14:paraId="6674A122" w14:textId="381B9A04" w:rsidR="00BF5D31" w:rsidRPr="007A4121" w:rsidRDefault="00BF5D31" w:rsidP="00D22E55">
      <w:pPr>
        <w:pStyle w:val="FootnoteText"/>
        <w:jc w:val="both"/>
        <w:rPr>
          <w:lang w:val="en-US"/>
        </w:rPr>
      </w:pPr>
      <w:r>
        <w:rPr>
          <w:rStyle w:val="FootnoteReference"/>
        </w:rPr>
        <w:footnoteRef/>
      </w:r>
      <w:r>
        <w:t xml:space="preserve"> </w:t>
      </w:r>
      <w:r w:rsidRPr="000D7F05">
        <w:rPr>
          <w:b/>
          <w:sz w:val="18"/>
          <w:szCs w:val="18"/>
          <w:lang w:val="en-US"/>
        </w:rPr>
        <w:t>Note</w:t>
      </w:r>
      <w:r w:rsidRPr="000D7F05">
        <w:rPr>
          <w:sz w:val="18"/>
          <w:szCs w:val="18"/>
          <w:lang w:val="en-US"/>
        </w:rPr>
        <w:t>: caution is needed when referring to these supportive statements, as not all countries listed on this page can be labelled as</w:t>
      </w:r>
      <w:r w:rsidR="00E66210">
        <w:rPr>
          <w:sz w:val="18"/>
          <w:szCs w:val="18"/>
          <w:lang w:val="en-US"/>
        </w:rPr>
        <w:t xml:space="preserve"> “supportive of the Guidelines”, as s</w:t>
      </w:r>
      <w:r w:rsidRPr="000D7F05">
        <w:rPr>
          <w:sz w:val="18"/>
          <w:szCs w:val="18"/>
          <w:lang w:val="en-US"/>
        </w:rPr>
        <w:t>ome of the statements were made prior to the</w:t>
      </w:r>
      <w:r w:rsidR="00E66210">
        <w:rPr>
          <w:sz w:val="18"/>
          <w:szCs w:val="18"/>
          <w:lang w:val="en-US"/>
        </w:rPr>
        <w:t xml:space="preserve"> finalization of the Guidelines. </w:t>
      </w:r>
      <w:r w:rsidRPr="000D7F05">
        <w:rPr>
          <w:sz w:val="18"/>
          <w:szCs w:val="18"/>
          <w:lang w:val="en-US"/>
        </w:rPr>
        <w:t>Please consult with focal points or the GCPEA Coordinator if you have questions on the position of a particular country.</w:t>
      </w:r>
      <w:r w:rsidRPr="007A4121">
        <w:rPr>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C152" w14:textId="77777777" w:rsidR="00BF5D31" w:rsidRDefault="00106F15">
    <w:pPr>
      <w:pStyle w:val="Header"/>
    </w:pPr>
    <w:r>
      <w:rPr>
        <w:noProof/>
        <w:lang w:val="en-US" w:eastAsia="en-US"/>
      </w:rPr>
      <w:pict w14:anchorId="1BB5C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38.8pt;height:146.25pt;rotation:315;z-index:-251651584;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346F" w14:textId="4DAD3853" w:rsidR="00BF5D31" w:rsidRPr="007A4121" w:rsidRDefault="00106F15">
    <w:pPr>
      <w:pStyle w:val="Header"/>
      <w:rPr>
        <w:b/>
        <w:sz w:val="20"/>
        <w:szCs w:val="20"/>
      </w:rPr>
    </w:pPr>
    <w:r>
      <w:rPr>
        <w:b/>
        <w:noProof/>
        <w:sz w:val="20"/>
        <w:szCs w:val="20"/>
        <w:lang w:val="en-US" w:eastAsia="en-US"/>
      </w:rPr>
      <w:pict w14:anchorId="279C2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38.8pt;height:146.25pt;rotation:315;z-index:-25165260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r w:rsidR="00BF5D31" w:rsidRPr="007A4121">
      <w:rPr>
        <w:b/>
        <w:sz w:val="20"/>
        <w:szCs w:val="20"/>
      </w:rPr>
      <w:t>NOT FOR EXTERNAL CIRCULATION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F5D0" w14:textId="77777777" w:rsidR="00BF5D31" w:rsidRDefault="00106F15">
    <w:pPr>
      <w:pStyle w:val="Header"/>
    </w:pPr>
    <w:r>
      <w:rPr>
        <w:noProof/>
        <w:lang w:val="en-US" w:eastAsia="en-US"/>
      </w:rPr>
      <w:pict w14:anchorId="2DA3B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38.8pt;height:146.25pt;rotation:315;z-index:-25165056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B2C5" w14:textId="563D2A2A" w:rsidR="00BF5D31" w:rsidRDefault="00BF5D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3428" w14:textId="038764DA" w:rsidR="00BF5D31" w:rsidRDefault="00BF5D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4A4A" w14:textId="3678E02F" w:rsidR="00BF5D31" w:rsidRDefault="00BF5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6A"/>
    <w:multiLevelType w:val="hybridMultilevel"/>
    <w:tmpl w:val="A05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F7E04"/>
    <w:multiLevelType w:val="hybridMultilevel"/>
    <w:tmpl w:val="487AFC0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AE36A8B"/>
    <w:multiLevelType w:val="hybridMultilevel"/>
    <w:tmpl w:val="43AEDE8A"/>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3228A9"/>
    <w:multiLevelType w:val="hybridMultilevel"/>
    <w:tmpl w:val="0EDEC33E"/>
    <w:lvl w:ilvl="0" w:tplc="100C000D">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CE6186D"/>
    <w:multiLevelType w:val="hybridMultilevel"/>
    <w:tmpl w:val="773A6F2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D3A2CDC"/>
    <w:multiLevelType w:val="multilevel"/>
    <w:tmpl w:val="765640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A913B9"/>
    <w:multiLevelType w:val="multilevel"/>
    <w:tmpl w:val="9496CF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4F70E90"/>
    <w:multiLevelType w:val="multilevel"/>
    <w:tmpl w:val="765640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8F6E7B"/>
    <w:multiLevelType w:val="hybridMultilevel"/>
    <w:tmpl w:val="7966B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90374"/>
    <w:multiLevelType w:val="hybridMultilevel"/>
    <w:tmpl w:val="7092EBC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1D77147"/>
    <w:multiLevelType w:val="multilevel"/>
    <w:tmpl w:val="765640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46C7E2A"/>
    <w:multiLevelType w:val="multilevel"/>
    <w:tmpl w:val="BBDA22F8"/>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nsid w:val="29931412"/>
    <w:multiLevelType w:val="hybridMultilevel"/>
    <w:tmpl w:val="37B6B57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9F96025"/>
    <w:multiLevelType w:val="hybridMultilevel"/>
    <w:tmpl w:val="55A2C32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DA43422"/>
    <w:multiLevelType w:val="hybridMultilevel"/>
    <w:tmpl w:val="767A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8641D"/>
    <w:multiLevelType w:val="hybridMultilevel"/>
    <w:tmpl w:val="54D4E53A"/>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60F2D77"/>
    <w:multiLevelType w:val="hybridMultilevel"/>
    <w:tmpl w:val="E03298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5447A48"/>
    <w:multiLevelType w:val="hybridMultilevel"/>
    <w:tmpl w:val="03BEDF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3A057AF"/>
    <w:multiLevelType w:val="hybridMultilevel"/>
    <w:tmpl w:val="3D4C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954CB"/>
    <w:multiLevelType w:val="hybridMultilevel"/>
    <w:tmpl w:val="7C5EB33E"/>
    <w:lvl w:ilvl="0" w:tplc="100C0011">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5AFE0301"/>
    <w:multiLevelType w:val="multilevel"/>
    <w:tmpl w:val="C158BF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CBE3402"/>
    <w:multiLevelType w:val="multilevel"/>
    <w:tmpl w:val="FC2CDFB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68B265C"/>
    <w:multiLevelType w:val="hybridMultilevel"/>
    <w:tmpl w:val="A05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22532"/>
    <w:multiLevelType w:val="hybridMultilevel"/>
    <w:tmpl w:val="4C304C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6BEB57BB"/>
    <w:multiLevelType w:val="hybridMultilevel"/>
    <w:tmpl w:val="F1DA0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71AE772C"/>
    <w:multiLevelType w:val="hybridMultilevel"/>
    <w:tmpl w:val="4296CE6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740A0593"/>
    <w:multiLevelType w:val="multilevel"/>
    <w:tmpl w:val="35C2D478"/>
    <w:styleLink w:val="List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7">
    <w:nsid w:val="79603356"/>
    <w:multiLevelType w:val="hybridMultilevel"/>
    <w:tmpl w:val="38849A92"/>
    <w:lvl w:ilvl="0" w:tplc="447CAB2C">
      <w:start w:val="1"/>
      <w:numFmt w:val="decimal"/>
      <w:lvlText w:val="%1)"/>
      <w:lvlJc w:val="left"/>
      <w:pPr>
        <w:ind w:left="720" w:hanging="360"/>
      </w:pPr>
      <w:rPr>
        <w:rFonts w:hint="default"/>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6"/>
  </w:num>
  <w:num w:numId="3">
    <w:abstractNumId w:val="8"/>
  </w:num>
  <w:num w:numId="4">
    <w:abstractNumId w:val="0"/>
  </w:num>
  <w:num w:numId="5">
    <w:abstractNumId w:val="14"/>
  </w:num>
  <w:num w:numId="6">
    <w:abstractNumId w:val="18"/>
  </w:num>
  <w:num w:numId="7">
    <w:abstractNumId w:val="11"/>
  </w:num>
  <w:num w:numId="8">
    <w:abstractNumId w:val="26"/>
  </w:num>
  <w:num w:numId="9">
    <w:abstractNumId w:val="21"/>
  </w:num>
  <w:num w:numId="10">
    <w:abstractNumId w:val="23"/>
  </w:num>
  <w:num w:numId="11">
    <w:abstractNumId w:val="16"/>
  </w:num>
  <w:num w:numId="12">
    <w:abstractNumId w:val="2"/>
  </w:num>
  <w:num w:numId="13">
    <w:abstractNumId w:val="3"/>
  </w:num>
  <w:num w:numId="14">
    <w:abstractNumId w:val="15"/>
  </w:num>
  <w:num w:numId="15">
    <w:abstractNumId w:val="19"/>
  </w:num>
  <w:num w:numId="16">
    <w:abstractNumId w:val="24"/>
  </w:num>
  <w:num w:numId="17">
    <w:abstractNumId w:val="17"/>
  </w:num>
  <w:num w:numId="18">
    <w:abstractNumId w:val="27"/>
  </w:num>
  <w:num w:numId="19">
    <w:abstractNumId w:val="4"/>
  </w:num>
  <w:num w:numId="20">
    <w:abstractNumId w:val="1"/>
  </w:num>
  <w:num w:numId="21">
    <w:abstractNumId w:val="25"/>
  </w:num>
  <w:num w:numId="22">
    <w:abstractNumId w:val="9"/>
  </w:num>
  <w:num w:numId="23">
    <w:abstractNumId w:val="13"/>
  </w:num>
  <w:num w:numId="24">
    <w:abstractNumId w:val="5"/>
  </w:num>
  <w:num w:numId="25">
    <w:abstractNumId w:val="22"/>
  </w:num>
  <w:num w:numId="26">
    <w:abstractNumId w:val="12"/>
  </w:num>
  <w:num w:numId="27">
    <w:abstractNumId w:val="7"/>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4C"/>
    <w:rsid w:val="00005DD8"/>
    <w:rsid w:val="00060AF4"/>
    <w:rsid w:val="00065D9F"/>
    <w:rsid w:val="00070DE0"/>
    <w:rsid w:val="00085B00"/>
    <w:rsid w:val="000A7F78"/>
    <w:rsid w:val="000C148E"/>
    <w:rsid w:val="000D17B0"/>
    <w:rsid w:val="000D3693"/>
    <w:rsid w:val="000D7F05"/>
    <w:rsid w:val="00106F15"/>
    <w:rsid w:val="00112638"/>
    <w:rsid w:val="001366D0"/>
    <w:rsid w:val="0015324C"/>
    <w:rsid w:val="001A3367"/>
    <w:rsid w:val="001B3181"/>
    <w:rsid w:val="001C4BD8"/>
    <w:rsid w:val="001D1117"/>
    <w:rsid w:val="00237BD9"/>
    <w:rsid w:val="00243C47"/>
    <w:rsid w:val="00257A29"/>
    <w:rsid w:val="00260AE5"/>
    <w:rsid w:val="002755B5"/>
    <w:rsid w:val="00275A73"/>
    <w:rsid w:val="0028164D"/>
    <w:rsid w:val="002A4813"/>
    <w:rsid w:val="002A53D5"/>
    <w:rsid w:val="002A74A9"/>
    <w:rsid w:val="002C02AB"/>
    <w:rsid w:val="002C284C"/>
    <w:rsid w:val="002E3B51"/>
    <w:rsid w:val="002F0E46"/>
    <w:rsid w:val="002F4663"/>
    <w:rsid w:val="0031010D"/>
    <w:rsid w:val="00314762"/>
    <w:rsid w:val="00314C3D"/>
    <w:rsid w:val="00321238"/>
    <w:rsid w:val="003710E5"/>
    <w:rsid w:val="0039357B"/>
    <w:rsid w:val="00395344"/>
    <w:rsid w:val="0039724C"/>
    <w:rsid w:val="003D3537"/>
    <w:rsid w:val="003D6238"/>
    <w:rsid w:val="003E3737"/>
    <w:rsid w:val="003E5307"/>
    <w:rsid w:val="003F6804"/>
    <w:rsid w:val="0040285B"/>
    <w:rsid w:val="0040290C"/>
    <w:rsid w:val="00422540"/>
    <w:rsid w:val="00445B0D"/>
    <w:rsid w:val="00447275"/>
    <w:rsid w:val="0046036E"/>
    <w:rsid w:val="00473B43"/>
    <w:rsid w:val="004936B2"/>
    <w:rsid w:val="004B0596"/>
    <w:rsid w:val="004B1C95"/>
    <w:rsid w:val="004C27FE"/>
    <w:rsid w:val="004D47C1"/>
    <w:rsid w:val="004E146D"/>
    <w:rsid w:val="004F5C89"/>
    <w:rsid w:val="0050427C"/>
    <w:rsid w:val="00517ACC"/>
    <w:rsid w:val="00523DFC"/>
    <w:rsid w:val="005340BC"/>
    <w:rsid w:val="005368D2"/>
    <w:rsid w:val="00591879"/>
    <w:rsid w:val="005932AA"/>
    <w:rsid w:val="005C1CC4"/>
    <w:rsid w:val="005D1C4E"/>
    <w:rsid w:val="005E59A1"/>
    <w:rsid w:val="005F2CA2"/>
    <w:rsid w:val="005F3987"/>
    <w:rsid w:val="005F70E6"/>
    <w:rsid w:val="006112D4"/>
    <w:rsid w:val="006237D9"/>
    <w:rsid w:val="00642C1E"/>
    <w:rsid w:val="00645671"/>
    <w:rsid w:val="00663834"/>
    <w:rsid w:val="00673965"/>
    <w:rsid w:val="006748CC"/>
    <w:rsid w:val="006A67D9"/>
    <w:rsid w:val="006B3E5D"/>
    <w:rsid w:val="006D71D5"/>
    <w:rsid w:val="006E74DC"/>
    <w:rsid w:val="007049DB"/>
    <w:rsid w:val="00705610"/>
    <w:rsid w:val="00712618"/>
    <w:rsid w:val="00720167"/>
    <w:rsid w:val="00734989"/>
    <w:rsid w:val="00777A98"/>
    <w:rsid w:val="007A1422"/>
    <w:rsid w:val="007A4102"/>
    <w:rsid w:val="007A4121"/>
    <w:rsid w:val="007A59ED"/>
    <w:rsid w:val="007D24A2"/>
    <w:rsid w:val="007F0E57"/>
    <w:rsid w:val="007F30D1"/>
    <w:rsid w:val="008065BA"/>
    <w:rsid w:val="00810C64"/>
    <w:rsid w:val="008122CB"/>
    <w:rsid w:val="008143DD"/>
    <w:rsid w:val="008370A2"/>
    <w:rsid w:val="00852625"/>
    <w:rsid w:val="008766C8"/>
    <w:rsid w:val="008964AC"/>
    <w:rsid w:val="008A1FF1"/>
    <w:rsid w:val="008A275F"/>
    <w:rsid w:val="008A76B2"/>
    <w:rsid w:val="008C33CB"/>
    <w:rsid w:val="008D1A1F"/>
    <w:rsid w:val="008E102F"/>
    <w:rsid w:val="008F2BC1"/>
    <w:rsid w:val="00901356"/>
    <w:rsid w:val="00901BEB"/>
    <w:rsid w:val="00902DCD"/>
    <w:rsid w:val="00917A3C"/>
    <w:rsid w:val="00930073"/>
    <w:rsid w:val="00931FB8"/>
    <w:rsid w:val="009443B7"/>
    <w:rsid w:val="00950AE0"/>
    <w:rsid w:val="009771AE"/>
    <w:rsid w:val="00994EF8"/>
    <w:rsid w:val="009A5C33"/>
    <w:rsid w:val="009E23BE"/>
    <w:rsid w:val="009E6B35"/>
    <w:rsid w:val="00A20EFB"/>
    <w:rsid w:val="00A4296B"/>
    <w:rsid w:val="00A44072"/>
    <w:rsid w:val="00A5288E"/>
    <w:rsid w:val="00A5317A"/>
    <w:rsid w:val="00A649BB"/>
    <w:rsid w:val="00A67E31"/>
    <w:rsid w:val="00A7164C"/>
    <w:rsid w:val="00A73DB7"/>
    <w:rsid w:val="00A7616A"/>
    <w:rsid w:val="00A84950"/>
    <w:rsid w:val="00A9649E"/>
    <w:rsid w:val="00AA4CA8"/>
    <w:rsid w:val="00AC0DDF"/>
    <w:rsid w:val="00AC4E12"/>
    <w:rsid w:val="00AD076D"/>
    <w:rsid w:val="00AD3F90"/>
    <w:rsid w:val="00AE4344"/>
    <w:rsid w:val="00AE6AB7"/>
    <w:rsid w:val="00AF2ACC"/>
    <w:rsid w:val="00B05F41"/>
    <w:rsid w:val="00B119A4"/>
    <w:rsid w:val="00B27768"/>
    <w:rsid w:val="00B6120D"/>
    <w:rsid w:val="00B63767"/>
    <w:rsid w:val="00B66644"/>
    <w:rsid w:val="00B82648"/>
    <w:rsid w:val="00B93641"/>
    <w:rsid w:val="00B9524A"/>
    <w:rsid w:val="00B95C6C"/>
    <w:rsid w:val="00B970E0"/>
    <w:rsid w:val="00BA48CB"/>
    <w:rsid w:val="00BB63C3"/>
    <w:rsid w:val="00BE060A"/>
    <w:rsid w:val="00BF5D31"/>
    <w:rsid w:val="00C169FD"/>
    <w:rsid w:val="00C17DCD"/>
    <w:rsid w:val="00C21F6D"/>
    <w:rsid w:val="00C24588"/>
    <w:rsid w:val="00C57BFE"/>
    <w:rsid w:val="00C76453"/>
    <w:rsid w:val="00C94F19"/>
    <w:rsid w:val="00C97D1F"/>
    <w:rsid w:val="00CA04B6"/>
    <w:rsid w:val="00CC2396"/>
    <w:rsid w:val="00CC522F"/>
    <w:rsid w:val="00CD048C"/>
    <w:rsid w:val="00CD08DA"/>
    <w:rsid w:val="00CD3B66"/>
    <w:rsid w:val="00D22E55"/>
    <w:rsid w:val="00D23C6E"/>
    <w:rsid w:val="00D24114"/>
    <w:rsid w:val="00D73493"/>
    <w:rsid w:val="00D76966"/>
    <w:rsid w:val="00D85E49"/>
    <w:rsid w:val="00D93A8D"/>
    <w:rsid w:val="00DB0AE4"/>
    <w:rsid w:val="00DB0F90"/>
    <w:rsid w:val="00DC513E"/>
    <w:rsid w:val="00DE792E"/>
    <w:rsid w:val="00DF572F"/>
    <w:rsid w:val="00E05046"/>
    <w:rsid w:val="00E11A96"/>
    <w:rsid w:val="00E13690"/>
    <w:rsid w:val="00E25351"/>
    <w:rsid w:val="00E31D2A"/>
    <w:rsid w:val="00E41C00"/>
    <w:rsid w:val="00E541D4"/>
    <w:rsid w:val="00E66210"/>
    <w:rsid w:val="00E74DAD"/>
    <w:rsid w:val="00E90007"/>
    <w:rsid w:val="00E905CC"/>
    <w:rsid w:val="00E927C9"/>
    <w:rsid w:val="00EA7233"/>
    <w:rsid w:val="00EC589D"/>
    <w:rsid w:val="00EC7CDF"/>
    <w:rsid w:val="00EE013F"/>
    <w:rsid w:val="00EE13A3"/>
    <w:rsid w:val="00F2539B"/>
    <w:rsid w:val="00F364FF"/>
    <w:rsid w:val="00F52F7E"/>
    <w:rsid w:val="00F54A51"/>
    <w:rsid w:val="00F56EE6"/>
    <w:rsid w:val="00F80276"/>
    <w:rsid w:val="00FB037C"/>
    <w:rsid w:val="00FB2D58"/>
    <w:rsid w:val="00FC4270"/>
    <w:rsid w:val="00FE3D27"/>
    <w:rsid w:val="00FF4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1A8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4C"/>
    <w:rPr>
      <w:lang w:val="en-GB"/>
    </w:rPr>
  </w:style>
  <w:style w:type="paragraph" w:styleId="Heading1">
    <w:name w:val="heading 1"/>
    <w:basedOn w:val="Normal"/>
    <w:next w:val="Normal"/>
    <w:link w:val="Heading1Char"/>
    <w:uiPriority w:val="9"/>
    <w:qFormat/>
    <w:rsid w:val="001532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DF572F"/>
    <w:pPr>
      <w:keepNext/>
      <w:keepLines/>
      <w:spacing w:before="200" w:after="0"/>
      <w:jc w:val="both"/>
      <w:outlineLvl w:val="1"/>
    </w:pPr>
    <w:rPr>
      <w:rFonts w:eastAsia="Cambria" w:cs="Cambria"/>
      <w:b/>
      <w:bCs/>
      <w:color w:val="4F81BD" w:themeColor="accent1"/>
    </w:rPr>
  </w:style>
  <w:style w:type="paragraph" w:styleId="Heading3">
    <w:name w:val="heading 3"/>
    <w:basedOn w:val="Normal"/>
    <w:next w:val="Normal"/>
    <w:link w:val="Heading3Char"/>
    <w:uiPriority w:val="9"/>
    <w:unhideWhenUsed/>
    <w:qFormat/>
    <w:rsid w:val="001532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324C"/>
    <w:pPr>
      <w:keepNext/>
      <w:keepLines/>
      <w:spacing w:before="200" w:after="0"/>
      <w:outlineLvl w:val="3"/>
    </w:pPr>
    <w:rPr>
      <w:rFonts w:asciiTheme="majorHAnsi" w:eastAsiaTheme="majorEastAsia" w:hAnsiTheme="majorHAnsi" w:cstheme="majorBidi"/>
      <w:b/>
      <w:bCs/>
      <w:i/>
      <w:iCs/>
      <w:color w:val="4F81BD" w:themeColor="accen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596"/>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15324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F572F"/>
    <w:rPr>
      <w:rFonts w:eastAsia="Cambria" w:cs="Cambria"/>
      <w:b/>
      <w:bCs/>
      <w:color w:val="4F81BD" w:themeColor="accent1"/>
      <w:lang w:val="en-GB"/>
    </w:rPr>
  </w:style>
  <w:style w:type="character" w:customStyle="1" w:styleId="Heading3Char">
    <w:name w:val="Heading 3 Char"/>
    <w:basedOn w:val="DefaultParagraphFont"/>
    <w:link w:val="Heading3"/>
    <w:uiPriority w:val="9"/>
    <w:rsid w:val="0015324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15324C"/>
    <w:rPr>
      <w:rFonts w:asciiTheme="majorHAnsi" w:eastAsiaTheme="majorEastAsia" w:hAnsiTheme="majorHAnsi" w:cstheme="majorBidi"/>
      <w:b/>
      <w:bCs/>
      <w:i/>
      <w:iCs/>
      <w:color w:val="4F81BD" w:themeColor="accent1"/>
      <w:szCs w:val="20"/>
      <w:lang w:val="en-GB" w:eastAsia="en-US"/>
    </w:rPr>
  </w:style>
  <w:style w:type="paragraph" w:styleId="ListParagraph">
    <w:name w:val="List Paragraph"/>
    <w:basedOn w:val="Normal"/>
    <w:qFormat/>
    <w:rsid w:val="0015324C"/>
    <w:pPr>
      <w:ind w:left="720"/>
      <w:contextualSpacing/>
    </w:pPr>
  </w:style>
  <w:style w:type="paragraph" w:styleId="Subtitle">
    <w:name w:val="Subtitle"/>
    <w:basedOn w:val="Normal"/>
    <w:next w:val="Normal"/>
    <w:link w:val="SubtitleChar"/>
    <w:uiPriority w:val="11"/>
    <w:qFormat/>
    <w:rsid w:val="001532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5324C"/>
    <w:rPr>
      <w:rFonts w:asciiTheme="majorHAnsi" w:eastAsiaTheme="majorEastAsia" w:hAnsiTheme="majorHAnsi" w:cstheme="majorBidi"/>
      <w:i/>
      <w:iCs/>
      <w:color w:val="4F81BD" w:themeColor="accent1"/>
      <w:spacing w:val="15"/>
      <w:lang w:val="en-GB"/>
    </w:rPr>
  </w:style>
  <w:style w:type="paragraph" w:styleId="TOC1">
    <w:name w:val="toc 1"/>
    <w:basedOn w:val="Normal"/>
    <w:next w:val="Normal"/>
    <w:autoRedefine/>
    <w:uiPriority w:val="39"/>
    <w:unhideWhenUsed/>
    <w:rsid w:val="0015324C"/>
    <w:pPr>
      <w:spacing w:before="120" w:after="0"/>
    </w:pPr>
    <w:rPr>
      <w:b/>
    </w:rPr>
  </w:style>
  <w:style w:type="paragraph" w:styleId="TOC2">
    <w:name w:val="toc 2"/>
    <w:basedOn w:val="Normal"/>
    <w:next w:val="Normal"/>
    <w:autoRedefine/>
    <w:uiPriority w:val="39"/>
    <w:unhideWhenUsed/>
    <w:rsid w:val="0015324C"/>
    <w:pPr>
      <w:spacing w:after="0"/>
      <w:ind w:left="240"/>
    </w:pPr>
    <w:rPr>
      <w:b/>
      <w:sz w:val="22"/>
      <w:szCs w:val="22"/>
    </w:rPr>
  </w:style>
  <w:style w:type="paragraph" w:styleId="Footer">
    <w:name w:val="footer"/>
    <w:basedOn w:val="Normal"/>
    <w:link w:val="FooterChar"/>
    <w:uiPriority w:val="99"/>
    <w:unhideWhenUsed/>
    <w:rsid w:val="0015324C"/>
    <w:pPr>
      <w:tabs>
        <w:tab w:val="center" w:pos="4320"/>
        <w:tab w:val="right" w:pos="8640"/>
      </w:tabs>
      <w:spacing w:after="0"/>
    </w:pPr>
  </w:style>
  <w:style w:type="character" w:customStyle="1" w:styleId="FooterChar">
    <w:name w:val="Footer Char"/>
    <w:basedOn w:val="DefaultParagraphFont"/>
    <w:link w:val="Footer"/>
    <w:uiPriority w:val="99"/>
    <w:rsid w:val="0015324C"/>
    <w:rPr>
      <w:lang w:val="en-GB"/>
    </w:rPr>
  </w:style>
  <w:style w:type="character" w:styleId="PageNumber">
    <w:name w:val="page number"/>
    <w:basedOn w:val="DefaultParagraphFont"/>
    <w:uiPriority w:val="99"/>
    <w:semiHidden/>
    <w:unhideWhenUsed/>
    <w:rsid w:val="0015324C"/>
  </w:style>
  <w:style w:type="paragraph" w:styleId="Title">
    <w:name w:val="Title"/>
    <w:basedOn w:val="Normal"/>
    <w:next w:val="Normal"/>
    <w:link w:val="TitleChar"/>
    <w:uiPriority w:val="10"/>
    <w:qFormat/>
    <w:rsid w:val="001532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24C"/>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15324C"/>
    <w:pPr>
      <w:tabs>
        <w:tab w:val="center" w:pos="4320"/>
        <w:tab w:val="right" w:pos="8640"/>
      </w:tabs>
      <w:spacing w:after="0"/>
    </w:pPr>
  </w:style>
  <w:style w:type="character" w:customStyle="1" w:styleId="HeaderChar">
    <w:name w:val="Header Char"/>
    <w:basedOn w:val="DefaultParagraphFont"/>
    <w:link w:val="Header"/>
    <w:uiPriority w:val="99"/>
    <w:rsid w:val="0015324C"/>
    <w:rPr>
      <w:lang w:val="en-GB"/>
    </w:rPr>
  </w:style>
  <w:style w:type="character" w:styleId="CommentReference">
    <w:name w:val="annotation reference"/>
    <w:basedOn w:val="DefaultParagraphFont"/>
    <w:uiPriority w:val="99"/>
    <w:semiHidden/>
    <w:unhideWhenUsed/>
    <w:rsid w:val="0015324C"/>
    <w:rPr>
      <w:sz w:val="18"/>
      <w:szCs w:val="18"/>
    </w:rPr>
  </w:style>
  <w:style w:type="paragraph" w:styleId="CommentText">
    <w:name w:val="annotation text"/>
    <w:basedOn w:val="Normal"/>
    <w:link w:val="CommentTextChar"/>
    <w:uiPriority w:val="99"/>
    <w:unhideWhenUsed/>
    <w:rsid w:val="0015324C"/>
  </w:style>
  <w:style w:type="character" w:customStyle="1" w:styleId="CommentTextChar">
    <w:name w:val="Comment Text Char"/>
    <w:basedOn w:val="DefaultParagraphFont"/>
    <w:link w:val="CommentText"/>
    <w:uiPriority w:val="99"/>
    <w:rsid w:val="0015324C"/>
    <w:rPr>
      <w:lang w:val="en-GB"/>
    </w:rPr>
  </w:style>
  <w:style w:type="paragraph" w:styleId="FootnoteText">
    <w:name w:val="footnote text"/>
    <w:basedOn w:val="Normal"/>
    <w:link w:val="FootnoteTextChar"/>
    <w:unhideWhenUsed/>
    <w:rsid w:val="0015324C"/>
    <w:pPr>
      <w:spacing w:after="0"/>
    </w:pPr>
  </w:style>
  <w:style w:type="character" w:customStyle="1" w:styleId="FootnoteTextChar">
    <w:name w:val="Footnote Text Char"/>
    <w:basedOn w:val="DefaultParagraphFont"/>
    <w:link w:val="FootnoteText"/>
    <w:rsid w:val="0015324C"/>
    <w:rPr>
      <w:lang w:val="en-GB"/>
    </w:rPr>
  </w:style>
  <w:style w:type="character" w:styleId="FootnoteReference">
    <w:name w:val="footnote reference"/>
    <w:basedOn w:val="DefaultParagraphFont"/>
    <w:unhideWhenUsed/>
    <w:rsid w:val="0015324C"/>
    <w:rPr>
      <w:vertAlign w:val="superscript"/>
    </w:rPr>
  </w:style>
  <w:style w:type="paragraph" w:styleId="CommentSubject">
    <w:name w:val="annotation subject"/>
    <w:basedOn w:val="CommentText"/>
    <w:next w:val="CommentText"/>
    <w:link w:val="CommentSubjectChar"/>
    <w:uiPriority w:val="99"/>
    <w:semiHidden/>
    <w:unhideWhenUsed/>
    <w:rsid w:val="0015324C"/>
    <w:rPr>
      <w:b/>
      <w:bCs/>
      <w:sz w:val="20"/>
      <w:szCs w:val="20"/>
    </w:rPr>
  </w:style>
  <w:style w:type="character" w:customStyle="1" w:styleId="CommentSubjectChar">
    <w:name w:val="Comment Subject Char"/>
    <w:basedOn w:val="CommentTextChar"/>
    <w:link w:val="CommentSubject"/>
    <w:uiPriority w:val="99"/>
    <w:semiHidden/>
    <w:rsid w:val="0015324C"/>
    <w:rPr>
      <w:b/>
      <w:bCs/>
      <w:sz w:val="20"/>
      <w:szCs w:val="20"/>
      <w:lang w:val="en-GB"/>
    </w:rPr>
  </w:style>
  <w:style w:type="character" w:styleId="Hyperlink">
    <w:name w:val="Hyperlink"/>
    <w:basedOn w:val="DefaultParagraphFont"/>
    <w:unhideWhenUsed/>
    <w:rsid w:val="0015324C"/>
    <w:rPr>
      <w:color w:val="0000FF"/>
      <w:u w:val="single"/>
    </w:rPr>
  </w:style>
  <w:style w:type="paragraph" w:styleId="NormalWeb">
    <w:name w:val="Normal (Web)"/>
    <w:basedOn w:val="Normal"/>
    <w:uiPriority w:val="99"/>
    <w:unhideWhenUsed/>
    <w:rsid w:val="0015324C"/>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5324C"/>
  </w:style>
  <w:style w:type="character" w:styleId="Emphasis">
    <w:name w:val="Emphasis"/>
    <w:basedOn w:val="DefaultParagraphFont"/>
    <w:uiPriority w:val="20"/>
    <w:qFormat/>
    <w:rsid w:val="0015324C"/>
    <w:rPr>
      <w:i/>
      <w:iCs/>
    </w:rPr>
  </w:style>
  <w:style w:type="table" w:styleId="TableGrid">
    <w:name w:val="Table Grid"/>
    <w:basedOn w:val="TableNormal"/>
    <w:uiPriority w:val="59"/>
    <w:rsid w:val="001532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5324C"/>
    <w:pPr>
      <w:spacing w:after="0"/>
    </w:pPr>
    <w:rPr>
      <w:rFonts w:ascii="Arial" w:eastAsia="Times New Roman" w:hAnsi="Arial" w:cs="Times New Roman"/>
      <w:szCs w:val="20"/>
      <w:lang w:eastAsia="en-US"/>
    </w:rPr>
  </w:style>
  <w:style w:type="character" w:customStyle="1" w:styleId="BodyTextChar">
    <w:name w:val="Body Text Char"/>
    <w:basedOn w:val="DefaultParagraphFont"/>
    <w:link w:val="BodyText"/>
    <w:semiHidden/>
    <w:rsid w:val="0015324C"/>
    <w:rPr>
      <w:rFonts w:ascii="Arial" w:eastAsia="Times New Roman" w:hAnsi="Arial" w:cs="Times New Roman"/>
      <w:szCs w:val="20"/>
      <w:lang w:val="en-GB" w:eastAsia="en-US"/>
    </w:rPr>
  </w:style>
  <w:style w:type="paragraph" w:customStyle="1" w:styleId="Normal1">
    <w:name w:val="Normal1"/>
    <w:rsid w:val="0015324C"/>
    <w:rPr>
      <w:rFonts w:ascii="Cambria" w:eastAsia="Cambria" w:hAnsi="Cambria" w:cs="Cambria"/>
      <w:color w:val="000000"/>
      <w:szCs w:val="20"/>
      <w:lang w:val="en-GB" w:eastAsia="en-US"/>
    </w:rPr>
  </w:style>
  <w:style w:type="paragraph" w:styleId="TOC3">
    <w:name w:val="toc 3"/>
    <w:basedOn w:val="Normal"/>
    <w:next w:val="Normal"/>
    <w:autoRedefine/>
    <w:uiPriority w:val="39"/>
    <w:unhideWhenUsed/>
    <w:rsid w:val="0015324C"/>
    <w:pPr>
      <w:spacing w:after="100"/>
      <w:ind w:left="480"/>
    </w:pPr>
  </w:style>
  <w:style w:type="character" w:styleId="FollowedHyperlink">
    <w:name w:val="FollowedHyperlink"/>
    <w:basedOn w:val="DefaultParagraphFont"/>
    <w:uiPriority w:val="99"/>
    <w:unhideWhenUsed/>
    <w:rsid w:val="0015324C"/>
    <w:rPr>
      <w:color w:val="800080" w:themeColor="followedHyperlink"/>
      <w:u w:val="single"/>
    </w:rPr>
  </w:style>
  <w:style w:type="paragraph" w:customStyle="1" w:styleId="bodytext0">
    <w:name w:val="bodytext"/>
    <w:basedOn w:val="Normal"/>
    <w:rsid w:val="0015324C"/>
    <w:pPr>
      <w:spacing w:before="100" w:beforeAutospacing="1" w:after="100" w:afterAutospacing="1"/>
    </w:pPr>
    <w:rPr>
      <w:rFonts w:ascii="Times" w:hAnsi="Times"/>
      <w:sz w:val="20"/>
      <w:szCs w:val="20"/>
      <w:lang w:eastAsia="en-US"/>
    </w:rPr>
  </w:style>
  <w:style w:type="paragraph" w:customStyle="1" w:styleId="Normal2">
    <w:name w:val="Normal2"/>
    <w:rsid w:val="0015324C"/>
    <w:rPr>
      <w:rFonts w:ascii="Cambria" w:eastAsia="Cambria" w:hAnsi="Cambria" w:cs="Cambria"/>
      <w:color w:val="000000"/>
      <w:szCs w:val="20"/>
      <w:lang w:val="en-GB" w:eastAsia="en-US"/>
    </w:rPr>
  </w:style>
  <w:style w:type="paragraph" w:customStyle="1" w:styleId="Default">
    <w:name w:val="Default"/>
    <w:rsid w:val="0015324C"/>
    <w:pPr>
      <w:autoSpaceDE w:val="0"/>
      <w:autoSpaceDN w:val="0"/>
      <w:adjustRightInd w:val="0"/>
      <w:spacing w:after="0"/>
    </w:pPr>
    <w:rPr>
      <w:rFonts w:ascii="Arial" w:hAnsi="Arial" w:cs="Arial"/>
      <w:color w:val="000000"/>
      <w:lang w:val="fr-CH"/>
    </w:rPr>
  </w:style>
  <w:style w:type="paragraph" w:styleId="Revision">
    <w:name w:val="Revision"/>
    <w:hidden/>
    <w:rsid w:val="0015324C"/>
    <w:pPr>
      <w:spacing w:after="0"/>
    </w:pPr>
    <w:rPr>
      <w:lang w:val="en-GB"/>
    </w:rPr>
  </w:style>
  <w:style w:type="character" w:customStyle="1" w:styleId="hilite">
    <w:name w:val="hilite"/>
    <w:basedOn w:val="DefaultParagraphFont"/>
    <w:rsid w:val="009E6B35"/>
  </w:style>
  <w:style w:type="paragraph" w:customStyle="1" w:styleId="Body">
    <w:name w:val="Body"/>
    <w:rsid w:val="007D24A2"/>
    <w:pPr>
      <w:pBdr>
        <w:top w:val="nil"/>
        <w:left w:val="nil"/>
        <w:bottom w:val="nil"/>
        <w:right w:val="nil"/>
        <w:between w:val="nil"/>
        <w:bar w:val="nil"/>
      </w:pBdr>
      <w:spacing w:after="0"/>
    </w:pPr>
    <w:rPr>
      <w:rFonts w:ascii="Cambria" w:eastAsia="Cambria" w:hAnsi="Cambria" w:cs="Cambria"/>
      <w:color w:val="000000"/>
      <w:u w:color="000000"/>
      <w:bdr w:val="nil"/>
      <w:lang w:eastAsia="zh-CN" w:bidi="my-MM"/>
    </w:rPr>
  </w:style>
  <w:style w:type="numbering" w:customStyle="1" w:styleId="List0">
    <w:name w:val="List 0"/>
    <w:basedOn w:val="NoList"/>
    <w:rsid w:val="007D24A2"/>
    <w:pPr>
      <w:numPr>
        <w:numId w:val="8"/>
      </w:numPr>
    </w:pPr>
  </w:style>
  <w:style w:type="numbering" w:customStyle="1" w:styleId="List1">
    <w:name w:val="List 1"/>
    <w:basedOn w:val="NoList"/>
    <w:rsid w:val="007D24A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4C"/>
    <w:rPr>
      <w:lang w:val="en-GB"/>
    </w:rPr>
  </w:style>
  <w:style w:type="paragraph" w:styleId="Heading1">
    <w:name w:val="heading 1"/>
    <w:basedOn w:val="Normal"/>
    <w:next w:val="Normal"/>
    <w:link w:val="Heading1Char"/>
    <w:uiPriority w:val="9"/>
    <w:qFormat/>
    <w:rsid w:val="001532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DF572F"/>
    <w:pPr>
      <w:keepNext/>
      <w:keepLines/>
      <w:spacing w:before="200" w:after="0"/>
      <w:jc w:val="both"/>
      <w:outlineLvl w:val="1"/>
    </w:pPr>
    <w:rPr>
      <w:rFonts w:eastAsia="Cambria" w:cs="Cambria"/>
      <w:b/>
      <w:bCs/>
      <w:color w:val="4F81BD" w:themeColor="accent1"/>
    </w:rPr>
  </w:style>
  <w:style w:type="paragraph" w:styleId="Heading3">
    <w:name w:val="heading 3"/>
    <w:basedOn w:val="Normal"/>
    <w:next w:val="Normal"/>
    <w:link w:val="Heading3Char"/>
    <w:uiPriority w:val="9"/>
    <w:unhideWhenUsed/>
    <w:qFormat/>
    <w:rsid w:val="001532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324C"/>
    <w:pPr>
      <w:keepNext/>
      <w:keepLines/>
      <w:spacing w:before="200" w:after="0"/>
      <w:outlineLvl w:val="3"/>
    </w:pPr>
    <w:rPr>
      <w:rFonts w:asciiTheme="majorHAnsi" w:eastAsiaTheme="majorEastAsia" w:hAnsiTheme="majorHAnsi" w:cstheme="majorBidi"/>
      <w:b/>
      <w:bCs/>
      <w:i/>
      <w:iCs/>
      <w:color w:val="4F81BD" w:themeColor="accen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596"/>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15324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F572F"/>
    <w:rPr>
      <w:rFonts w:eastAsia="Cambria" w:cs="Cambria"/>
      <w:b/>
      <w:bCs/>
      <w:color w:val="4F81BD" w:themeColor="accent1"/>
      <w:lang w:val="en-GB"/>
    </w:rPr>
  </w:style>
  <w:style w:type="character" w:customStyle="1" w:styleId="Heading3Char">
    <w:name w:val="Heading 3 Char"/>
    <w:basedOn w:val="DefaultParagraphFont"/>
    <w:link w:val="Heading3"/>
    <w:uiPriority w:val="9"/>
    <w:rsid w:val="0015324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15324C"/>
    <w:rPr>
      <w:rFonts w:asciiTheme="majorHAnsi" w:eastAsiaTheme="majorEastAsia" w:hAnsiTheme="majorHAnsi" w:cstheme="majorBidi"/>
      <w:b/>
      <w:bCs/>
      <w:i/>
      <w:iCs/>
      <w:color w:val="4F81BD" w:themeColor="accent1"/>
      <w:szCs w:val="20"/>
      <w:lang w:val="en-GB" w:eastAsia="en-US"/>
    </w:rPr>
  </w:style>
  <w:style w:type="paragraph" w:styleId="ListParagraph">
    <w:name w:val="List Paragraph"/>
    <w:basedOn w:val="Normal"/>
    <w:qFormat/>
    <w:rsid w:val="0015324C"/>
    <w:pPr>
      <w:ind w:left="720"/>
      <w:contextualSpacing/>
    </w:pPr>
  </w:style>
  <w:style w:type="paragraph" w:styleId="Subtitle">
    <w:name w:val="Subtitle"/>
    <w:basedOn w:val="Normal"/>
    <w:next w:val="Normal"/>
    <w:link w:val="SubtitleChar"/>
    <w:uiPriority w:val="11"/>
    <w:qFormat/>
    <w:rsid w:val="001532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5324C"/>
    <w:rPr>
      <w:rFonts w:asciiTheme="majorHAnsi" w:eastAsiaTheme="majorEastAsia" w:hAnsiTheme="majorHAnsi" w:cstheme="majorBidi"/>
      <w:i/>
      <w:iCs/>
      <w:color w:val="4F81BD" w:themeColor="accent1"/>
      <w:spacing w:val="15"/>
      <w:lang w:val="en-GB"/>
    </w:rPr>
  </w:style>
  <w:style w:type="paragraph" w:styleId="TOC1">
    <w:name w:val="toc 1"/>
    <w:basedOn w:val="Normal"/>
    <w:next w:val="Normal"/>
    <w:autoRedefine/>
    <w:uiPriority w:val="39"/>
    <w:unhideWhenUsed/>
    <w:rsid w:val="0015324C"/>
    <w:pPr>
      <w:spacing w:before="120" w:after="0"/>
    </w:pPr>
    <w:rPr>
      <w:b/>
    </w:rPr>
  </w:style>
  <w:style w:type="paragraph" w:styleId="TOC2">
    <w:name w:val="toc 2"/>
    <w:basedOn w:val="Normal"/>
    <w:next w:val="Normal"/>
    <w:autoRedefine/>
    <w:uiPriority w:val="39"/>
    <w:unhideWhenUsed/>
    <w:rsid w:val="0015324C"/>
    <w:pPr>
      <w:spacing w:after="0"/>
      <w:ind w:left="240"/>
    </w:pPr>
    <w:rPr>
      <w:b/>
      <w:sz w:val="22"/>
      <w:szCs w:val="22"/>
    </w:rPr>
  </w:style>
  <w:style w:type="paragraph" w:styleId="Footer">
    <w:name w:val="footer"/>
    <w:basedOn w:val="Normal"/>
    <w:link w:val="FooterChar"/>
    <w:uiPriority w:val="99"/>
    <w:unhideWhenUsed/>
    <w:rsid w:val="0015324C"/>
    <w:pPr>
      <w:tabs>
        <w:tab w:val="center" w:pos="4320"/>
        <w:tab w:val="right" w:pos="8640"/>
      </w:tabs>
      <w:spacing w:after="0"/>
    </w:pPr>
  </w:style>
  <w:style w:type="character" w:customStyle="1" w:styleId="FooterChar">
    <w:name w:val="Footer Char"/>
    <w:basedOn w:val="DefaultParagraphFont"/>
    <w:link w:val="Footer"/>
    <w:uiPriority w:val="99"/>
    <w:rsid w:val="0015324C"/>
    <w:rPr>
      <w:lang w:val="en-GB"/>
    </w:rPr>
  </w:style>
  <w:style w:type="character" w:styleId="PageNumber">
    <w:name w:val="page number"/>
    <w:basedOn w:val="DefaultParagraphFont"/>
    <w:uiPriority w:val="99"/>
    <w:semiHidden/>
    <w:unhideWhenUsed/>
    <w:rsid w:val="0015324C"/>
  </w:style>
  <w:style w:type="paragraph" w:styleId="Title">
    <w:name w:val="Title"/>
    <w:basedOn w:val="Normal"/>
    <w:next w:val="Normal"/>
    <w:link w:val="TitleChar"/>
    <w:uiPriority w:val="10"/>
    <w:qFormat/>
    <w:rsid w:val="001532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24C"/>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15324C"/>
    <w:pPr>
      <w:tabs>
        <w:tab w:val="center" w:pos="4320"/>
        <w:tab w:val="right" w:pos="8640"/>
      </w:tabs>
      <w:spacing w:after="0"/>
    </w:pPr>
  </w:style>
  <w:style w:type="character" w:customStyle="1" w:styleId="HeaderChar">
    <w:name w:val="Header Char"/>
    <w:basedOn w:val="DefaultParagraphFont"/>
    <w:link w:val="Header"/>
    <w:uiPriority w:val="99"/>
    <w:rsid w:val="0015324C"/>
    <w:rPr>
      <w:lang w:val="en-GB"/>
    </w:rPr>
  </w:style>
  <w:style w:type="character" w:styleId="CommentReference">
    <w:name w:val="annotation reference"/>
    <w:basedOn w:val="DefaultParagraphFont"/>
    <w:uiPriority w:val="99"/>
    <w:semiHidden/>
    <w:unhideWhenUsed/>
    <w:rsid w:val="0015324C"/>
    <w:rPr>
      <w:sz w:val="18"/>
      <w:szCs w:val="18"/>
    </w:rPr>
  </w:style>
  <w:style w:type="paragraph" w:styleId="CommentText">
    <w:name w:val="annotation text"/>
    <w:basedOn w:val="Normal"/>
    <w:link w:val="CommentTextChar"/>
    <w:uiPriority w:val="99"/>
    <w:unhideWhenUsed/>
    <w:rsid w:val="0015324C"/>
  </w:style>
  <w:style w:type="character" w:customStyle="1" w:styleId="CommentTextChar">
    <w:name w:val="Comment Text Char"/>
    <w:basedOn w:val="DefaultParagraphFont"/>
    <w:link w:val="CommentText"/>
    <w:uiPriority w:val="99"/>
    <w:rsid w:val="0015324C"/>
    <w:rPr>
      <w:lang w:val="en-GB"/>
    </w:rPr>
  </w:style>
  <w:style w:type="paragraph" w:styleId="FootnoteText">
    <w:name w:val="footnote text"/>
    <w:basedOn w:val="Normal"/>
    <w:link w:val="FootnoteTextChar"/>
    <w:unhideWhenUsed/>
    <w:rsid w:val="0015324C"/>
    <w:pPr>
      <w:spacing w:after="0"/>
    </w:pPr>
  </w:style>
  <w:style w:type="character" w:customStyle="1" w:styleId="FootnoteTextChar">
    <w:name w:val="Footnote Text Char"/>
    <w:basedOn w:val="DefaultParagraphFont"/>
    <w:link w:val="FootnoteText"/>
    <w:rsid w:val="0015324C"/>
    <w:rPr>
      <w:lang w:val="en-GB"/>
    </w:rPr>
  </w:style>
  <w:style w:type="character" w:styleId="FootnoteReference">
    <w:name w:val="footnote reference"/>
    <w:basedOn w:val="DefaultParagraphFont"/>
    <w:unhideWhenUsed/>
    <w:rsid w:val="0015324C"/>
    <w:rPr>
      <w:vertAlign w:val="superscript"/>
    </w:rPr>
  </w:style>
  <w:style w:type="paragraph" w:styleId="CommentSubject">
    <w:name w:val="annotation subject"/>
    <w:basedOn w:val="CommentText"/>
    <w:next w:val="CommentText"/>
    <w:link w:val="CommentSubjectChar"/>
    <w:uiPriority w:val="99"/>
    <w:semiHidden/>
    <w:unhideWhenUsed/>
    <w:rsid w:val="0015324C"/>
    <w:rPr>
      <w:b/>
      <w:bCs/>
      <w:sz w:val="20"/>
      <w:szCs w:val="20"/>
    </w:rPr>
  </w:style>
  <w:style w:type="character" w:customStyle="1" w:styleId="CommentSubjectChar">
    <w:name w:val="Comment Subject Char"/>
    <w:basedOn w:val="CommentTextChar"/>
    <w:link w:val="CommentSubject"/>
    <w:uiPriority w:val="99"/>
    <w:semiHidden/>
    <w:rsid w:val="0015324C"/>
    <w:rPr>
      <w:b/>
      <w:bCs/>
      <w:sz w:val="20"/>
      <w:szCs w:val="20"/>
      <w:lang w:val="en-GB"/>
    </w:rPr>
  </w:style>
  <w:style w:type="character" w:styleId="Hyperlink">
    <w:name w:val="Hyperlink"/>
    <w:basedOn w:val="DefaultParagraphFont"/>
    <w:unhideWhenUsed/>
    <w:rsid w:val="0015324C"/>
    <w:rPr>
      <w:color w:val="0000FF"/>
      <w:u w:val="single"/>
    </w:rPr>
  </w:style>
  <w:style w:type="paragraph" w:styleId="NormalWeb">
    <w:name w:val="Normal (Web)"/>
    <w:basedOn w:val="Normal"/>
    <w:uiPriority w:val="99"/>
    <w:unhideWhenUsed/>
    <w:rsid w:val="0015324C"/>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5324C"/>
  </w:style>
  <w:style w:type="character" w:styleId="Emphasis">
    <w:name w:val="Emphasis"/>
    <w:basedOn w:val="DefaultParagraphFont"/>
    <w:uiPriority w:val="20"/>
    <w:qFormat/>
    <w:rsid w:val="0015324C"/>
    <w:rPr>
      <w:i/>
      <w:iCs/>
    </w:rPr>
  </w:style>
  <w:style w:type="table" w:styleId="TableGrid">
    <w:name w:val="Table Grid"/>
    <w:basedOn w:val="TableNormal"/>
    <w:uiPriority w:val="59"/>
    <w:rsid w:val="001532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5324C"/>
    <w:pPr>
      <w:spacing w:after="0"/>
    </w:pPr>
    <w:rPr>
      <w:rFonts w:ascii="Arial" w:eastAsia="Times New Roman" w:hAnsi="Arial" w:cs="Times New Roman"/>
      <w:szCs w:val="20"/>
      <w:lang w:eastAsia="en-US"/>
    </w:rPr>
  </w:style>
  <w:style w:type="character" w:customStyle="1" w:styleId="BodyTextChar">
    <w:name w:val="Body Text Char"/>
    <w:basedOn w:val="DefaultParagraphFont"/>
    <w:link w:val="BodyText"/>
    <w:semiHidden/>
    <w:rsid w:val="0015324C"/>
    <w:rPr>
      <w:rFonts w:ascii="Arial" w:eastAsia="Times New Roman" w:hAnsi="Arial" w:cs="Times New Roman"/>
      <w:szCs w:val="20"/>
      <w:lang w:val="en-GB" w:eastAsia="en-US"/>
    </w:rPr>
  </w:style>
  <w:style w:type="paragraph" w:customStyle="1" w:styleId="Normal1">
    <w:name w:val="Normal1"/>
    <w:rsid w:val="0015324C"/>
    <w:rPr>
      <w:rFonts w:ascii="Cambria" w:eastAsia="Cambria" w:hAnsi="Cambria" w:cs="Cambria"/>
      <w:color w:val="000000"/>
      <w:szCs w:val="20"/>
      <w:lang w:val="en-GB" w:eastAsia="en-US"/>
    </w:rPr>
  </w:style>
  <w:style w:type="paragraph" w:styleId="TOC3">
    <w:name w:val="toc 3"/>
    <w:basedOn w:val="Normal"/>
    <w:next w:val="Normal"/>
    <w:autoRedefine/>
    <w:uiPriority w:val="39"/>
    <w:unhideWhenUsed/>
    <w:rsid w:val="0015324C"/>
    <w:pPr>
      <w:spacing w:after="100"/>
      <w:ind w:left="480"/>
    </w:pPr>
  </w:style>
  <w:style w:type="character" w:styleId="FollowedHyperlink">
    <w:name w:val="FollowedHyperlink"/>
    <w:basedOn w:val="DefaultParagraphFont"/>
    <w:uiPriority w:val="99"/>
    <w:unhideWhenUsed/>
    <w:rsid w:val="0015324C"/>
    <w:rPr>
      <w:color w:val="800080" w:themeColor="followedHyperlink"/>
      <w:u w:val="single"/>
    </w:rPr>
  </w:style>
  <w:style w:type="paragraph" w:customStyle="1" w:styleId="bodytext0">
    <w:name w:val="bodytext"/>
    <w:basedOn w:val="Normal"/>
    <w:rsid w:val="0015324C"/>
    <w:pPr>
      <w:spacing w:before="100" w:beforeAutospacing="1" w:after="100" w:afterAutospacing="1"/>
    </w:pPr>
    <w:rPr>
      <w:rFonts w:ascii="Times" w:hAnsi="Times"/>
      <w:sz w:val="20"/>
      <w:szCs w:val="20"/>
      <w:lang w:eastAsia="en-US"/>
    </w:rPr>
  </w:style>
  <w:style w:type="paragraph" w:customStyle="1" w:styleId="Normal2">
    <w:name w:val="Normal2"/>
    <w:rsid w:val="0015324C"/>
    <w:rPr>
      <w:rFonts w:ascii="Cambria" w:eastAsia="Cambria" w:hAnsi="Cambria" w:cs="Cambria"/>
      <w:color w:val="000000"/>
      <w:szCs w:val="20"/>
      <w:lang w:val="en-GB" w:eastAsia="en-US"/>
    </w:rPr>
  </w:style>
  <w:style w:type="paragraph" w:customStyle="1" w:styleId="Default">
    <w:name w:val="Default"/>
    <w:rsid w:val="0015324C"/>
    <w:pPr>
      <w:autoSpaceDE w:val="0"/>
      <w:autoSpaceDN w:val="0"/>
      <w:adjustRightInd w:val="0"/>
      <w:spacing w:after="0"/>
    </w:pPr>
    <w:rPr>
      <w:rFonts w:ascii="Arial" w:hAnsi="Arial" w:cs="Arial"/>
      <w:color w:val="000000"/>
      <w:lang w:val="fr-CH"/>
    </w:rPr>
  </w:style>
  <w:style w:type="paragraph" w:styleId="Revision">
    <w:name w:val="Revision"/>
    <w:hidden/>
    <w:rsid w:val="0015324C"/>
    <w:pPr>
      <w:spacing w:after="0"/>
    </w:pPr>
    <w:rPr>
      <w:lang w:val="en-GB"/>
    </w:rPr>
  </w:style>
  <w:style w:type="character" w:customStyle="1" w:styleId="hilite">
    <w:name w:val="hilite"/>
    <w:basedOn w:val="DefaultParagraphFont"/>
    <w:rsid w:val="009E6B35"/>
  </w:style>
  <w:style w:type="paragraph" w:customStyle="1" w:styleId="Body">
    <w:name w:val="Body"/>
    <w:rsid w:val="007D24A2"/>
    <w:pPr>
      <w:pBdr>
        <w:top w:val="nil"/>
        <w:left w:val="nil"/>
        <w:bottom w:val="nil"/>
        <w:right w:val="nil"/>
        <w:between w:val="nil"/>
        <w:bar w:val="nil"/>
      </w:pBdr>
      <w:spacing w:after="0"/>
    </w:pPr>
    <w:rPr>
      <w:rFonts w:ascii="Cambria" w:eastAsia="Cambria" w:hAnsi="Cambria" w:cs="Cambria"/>
      <w:color w:val="000000"/>
      <w:u w:color="000000"/>
      <w:bdr w:val="nil"/>
      <w:lang w:eastAsia="zh-CN" w:bidi="my-MM"/>
    </w:rPr>
  </w:style>
  <w:style w:type="numbering" w:customStyle="1" w:styleId="List0">
    <w:name w:val="List 0"/>
    <w:basedOn w:val="NoList"/>
    <w:rsid w:val="007D24A2"/>
    <w:pPr>
      <w:numPr>
        <w:numId w:val="8"/>
      </w:numPr>
    </w:pPr>
  </w:style>
  <w:style w:type="numbering" w:customStyle="1" w:styleId="List1">
    <w:name w:val="List 1"/>
    <w:basedOn w:val="NoList"/>
    <w:rsid w:val="007D24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4304">
      <w:bodyDiv w:val="1"/>
      <w:marLeft w:val="0"/>
      <w:marRight w:val="0"/>
      <w:marTop w:val="0"/>
      <w:marBottom w:val="0"/>
      <w:divBdr>
        <w:top w:val="none" w:sz="0" w:space="0" w:color="auto"/>
        <w:left w:val="none" w:sz="0" w:space="0" w:color="auto"/>
        <w:bottom w:val="none" w:sz="0" w:space="0" w:color="auto"/>
        <w:right w:val="none" w:sz="0" w:space="0" w:color="auto"/>
      </w:divBdr>
    </w:div>
    <w:div w:id="598685651">
      <w:bodyDiv w:val="1"/>
      <w:marLeft w:val="0"/>
      <w:marRight w:val="0"/>
      <w:marTop w:val="0"/>
      <w:marBottom w:val="0"/>
      <w:divBdr>
        <w:top w:val="none" w:sz="0" w:space="0" w:color="auto"/>
        <w:left w:val="none" w:sz="0" w:space="0" w:color="auto"/>
        <w:bottom w:val="none" w:sz="0" w:space="0" w:color="auto"/>
        <w:right w:val="none" w:sz="0" w:space="0" w:color="auto"/>
      </w:divBdr>
    </w:div>
    <w:div w:id="749304913">
      <w:bodyDiv w:val="1"/>
      <w:marLeft w:val="0"/>
      <w:marRight w:val="0"/>
      <w:marTop w:val="0"/>
      <w:marBottom w:val="0"/>
      <w:divBdr>
        <w:top w:val="none" w:sz="0" w:space="0" w:color="auto"/>
        <w:left w:val="none" w:sz="0" w:space="0" w:color="auto"/>
        <w:bottom w:val="none" w:sz="0" w:space="0" w:color="auto"/>
        <w:right w:val="none" w:sz="0" w:space="0" w:color="auto"/>
      </w:divBdr>
    </w:div>
    <w:div w:id="824248656">
      <w:bodyDiv w:val="1"/>
      <w:marLeft w:val="0"/>
      <w:marRight w:val="0"/>
      <w:marTop w:val="0"/>
      <w:marBottom w:val="0"/>
      <w:divBdr>
        <w:top w:val="none" w:sz="0" w:space="0" w:color="auto"/>
        <w:left w:val="none" w:sz="0" w:space="0" w:color="auto"/>
        <w:bottom w:val="none" w:sz="0" w:space="0" w:color="auto"/>
        <w:right w:val="none" w:sz="0" w:space="0" w:color="auto"/>
      </w:divBdr>
    </w:div>
    <w:div w:id="904531228">
      <w:bodyDiv w:val="1"/>
      <w:marLeft w:val="0"/>
      <w:marRight w:val="0"/>
      <w:marTop w:val="0"/>
      <w:marBottom w:val="0"/>
      <w:divBdr>
        <w:top w:val="none" w:sz="0" w:space="0" w:color="auto"/>
        <w:left w:val="none" w:sz="0" w:space="0" w:color="auto"/>
        <w:bottom w:val="none" w:sz="0" w:space="0" w:color="auto"/>
        <w:right w:val="none" w:sz="0" w:space="0" w:color="auto"/>
      </w:divBdr>
    </w:div>
    <w:div w:id="1769156543">
      <w:bodyDiv w:val="1"/>
      <w:marLeft w:val="0"/>
      <w:marRight w:val="0"/>
      <w:marTop w:val="0"/>
      <w:marBottom w:val="0"/>
      <w:divBdr>
        <w:top w:val="none" w:sz="0" w:space="0" w:color="auto"/>
        <w:left w:val="none" w:sz="0" w:space="0" w:color="auto"/>
        <w:bottom w:val="none" w:sz="0" w:space="0" w:color="auto"/>
        <w:right w:val="none" w:sz="0" w:space="0" w:color="auto"/>
      </w:divBdr>
    </w:div>
    <w:div w:id="1837770616">
      <w:bodyDiv w:val="1"/>
      <w:marLeft w:val="0"/>
      <w:marRight w:val="0"/>
      <w:marTop w:val="0"/>
      <w:marBottom w:val="0"/>
      <w:divBdr>
        <w:top w:val="none" w:sz="0" w:space="0" w:color="auto"/>
        <w:left w:val="none" w:sz="0" w:space="0" w:color="auto"/>
        <w:bottom w:val="none" w:sz="0" w:space="0" w:color="auto"/>
        <w:right w:val="none" w:sz="0" w:space="0" w:color="auto"/>
      </w:divBdr>
    </w:div>
    <w:div w:id="1853837983">
      <w:bodyDiv w:val="1"/>
      <w:marLeft w:val="0"/>
      <w:marRight w:val="0"/>
      <w:marTop w:val="0"/>
      <w:marBottom w:val="0"/>
      <w:divBdr>
        <w:top w:val="none" w:sz="0" w:space="0" w:color="auto"/>
        <w:left w:val="none" w:sz="0" w:space="0" w:color="auto"/>
        <w:bottom w:val="none" w:sz="0" w:space="0" w:color="auto"/>
        <w:right w:val="none" w:sz="0" w:space="0" w:color="auto"/>
      </w:divBdr>
    </w:div>
    <w:div w:id="2090419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enevacall.org" TargetMode="External"/><Relationship Id="rId26" Type="http://schemas.openxmlformats.org/officeDocument/2006/relationships/hyperlink" Target="http://protectingeducation.org/sites/default/files/documents/lignes_directrices_blank_fr.pdf" TargetMode="External"/><Relationship Id="rId39" Type="http://schemas.openxmlformats.org/officeDocument/2006/relationships/hyperlink" Target="http://protectingeducation.org/sites/default/files/documents/exemples_de_legislations_orientations_et_pratiques_nationales.pdf"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protectingeducation.org/sites/default/files/documents/applicable_international_legal_framework.pdf" TargetMode="External"/><Relationship Id="rId42" Type="http://schemas.openxmlformats.org/officeDocument/2006/relationships/hyperlink" Target="http://www.protectingeducation.org/guidelines/support"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fguinote@protectingeducation.org" TargetMode="External"/><Relationship Id="rId17" Type="http://schemas.openxmlformats.org/officeDocument/2006/relationships/header" Target="header3.xml"/><Relationship Id="rId25" Type="http://schemas.openxmlformats.org/officeDocument/2006/relationships/hyperlink" Target="http://protectingeducation.org/sites/default/files/documents/guidelines_blank_en.pdf" TargetMode="External"/><Relationship Id="rId33" Type="http://schemas.openxmlformats.org/officeDocument/2006/relationships/hyperlink" Target="http://protectingeducation.org/sites/default/files/documents/preguntas_y_respuestas.pdf" TargetMode="External"/><Relationship Id="rId38" Type="http://schemas.openxmlformats.org/officeDocument/2006/relationships/hyperlink" Target="http://protectingeducation.org/sites/default/files/documents/examples_of_domestic_law_guidance_and_practice.pdf"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www.protectingeducation.org/sites/default/files/documents/commentary_on_the_guidelines.pdf" TargetMode="External"/><Relationship Id="rId41" Type="http://schemas.openxmlformats.org/officeDocument/2006/relationships/hyperlink" Target="http://protectingeducation.org/sites/default/files/documents/ejemplos_de_normas_de_derecho_interno_pautas_y_practica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uinote@protectingeducation.org" TargetMode="External"/><Relationship Id="rId24" Type="http://schemas.microsoft.com/office/2007/relationships/diagramDrawing" Target="diagrams/drawing1.xml"/><Relationship Id="rId32" Type="http://schemas.openxmlformats.org/officeDocument/2006/relationships/hyperlink" Target="http://protectingeducation.org/sites/default/files/documents/questions_and_answers_ar.pdf" TargetMode="External"/><Relationship Id="rId37" Type="http://schemas.openxmlformats.org/officeDocument/2006/relationships/hyperlink" Target="http://protectingeducation.org/sites/default/files/documents/marco_juridico_internacional_aplicable.pdf" TargetMode="External"/><Relationship Id="rId40" Type="http://schemas.openxmlformats.org/officeDocument/2006/relationships/hyperlink" Target="http://protectingeducation.org/sites/default/files/documents/examples_of_domestic_law_guidance_and_practice_ar.pdf" TargetMode="External"/><Relationship Id="rId45" Type="http://schemas.openxmlformats.org/officeDocument/2006/relationships/hyperlink" Target="http://www.protectingeducation.org/MU-coordinatio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http://protectingeducation.org/sites/default/files/documents/directrices_blank_es.pdf" TargetMode="External"/><Relationship Id="rId36" Type="http://schemas.openxmlformats.org/officeDocument/2006/relationships/hyperlink" Target="http://protectingeducation.org/sites/default/files/documents/applicable_international_legal_framework_ar.pdf" TargetMode="External"/><Relationship Id="rId49" Type="http://schemas.openxmlformats.org/officeDocument/2006/relationships/footer" Target="footer4.xml"/><Relationship Id="rId10" Type="http://schemas.openxmlformats.org/officeDocument/2006/relationships/hyperlink" Target="http://protectingeducation.org/sites/default/files/documents/lessons_in_war.pdf" TargetMode="External"/><Relationship Id="rId19" Type="http://schemas.openxmlformats.org/officeDocument/2006/relationships/hyperlink" Target="http://www.genevacall.org/wp-content/uploads/dlm_uploads/2013/12/DoC-Protecting-children-in-armed-conflict.pdf" TargetMode="External"/><Relationship Id="rId31" Type="http://schemas.openxmlformats.org/officeDocument/2006/relationships/hyperlink" Target="http://protectingeducation.org/sites/default/files/documents/questions_et_reponses.pdf" TargetMode="External"/><Relationship Id="rId44" Type="http://schemas.openxmlformats.org/officeDocument/2006/relationships/hyperlink" Target="http://www.protectingeducation.org/sites/default/files/documents/guidelines-suggested_talking_points_for_recurrent_questions_and_concerns-rev.doc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tectingeducation.org/guidelines" TargetMode="External"/><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yperlink" Target="http://protectingeducation.org/sites/default/files/documents/guidelines_blank_ar.pdf" TargetMode="External"/><Relationship Id="rId30" Type="http://schemas.openxmlformats.org/officeDocument/2006/relationships/hyperlink" Target="http://protectingeducation.org/sites/default/files/documents/questions_and_answers.pdf" TargetMode="External"/><Relationship Id="rId35" Type="http://schemas.openxmlformats.org/officeDocument/2006/relationships/hyperlink" Target="http://protectingeducation.org/sites/default/files/documents/cadre_juridique_international_applicable.pdf" TargetMode="External"/><Relationship Id="rId43" Type="http://schemas.openxmlformats.org/officeDocument/2006/relationships/hyperlink" Target="http://www.protectingeducation.org/sites/default/files/documents/guidelines-core_messages-final.docx"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childrenandarmedconflict.un.org/publications/AttacksonSchoolsHospitals.pdf" TargetMode="External"/><Relationship Id="rId2" Type="http://schemas.openxmlformats.org/officeDocument/2006/relationships/hyperlink" Target="http://www.genevacall.org/how-we-work/armed-non-state-actors/" TargetMode="External"/><Relationship Id="rId1" Type="http://schemas.openxmlformats.org/officeDocument/2006/relationships/hyperlink" Target="http://www.protectingeducation.org" TargetMode="External"/><Relationship Id="rId4" Type="http://schemas.openxmlformats.org/officeDocument/2006/relationships/hyperlink" Target="mailto:fguinote@protectingeducatio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C087E1-1FCA-4588-9217-37F2856E243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CH"/>
        </a:p>
      </dgm:t>
    </dgm:pt>
    <dgm:pt modelId="{F5445A5D-ACDC-4A53-A07A-73E0B31F39F8}">
      <dgm:prSet phldrT="[Text]"/>
      <dgm:spPr/>
      <dgm:t>
        <a:bodyPr/>
        <a:lstStyle/>
        <a:p>
          <a:r>
            <a:rPr lang="fr-CH"/>
            <a:t>GCPEA's Military Use Working Group and Coordinator </a:t>
          </a:r>
        </a:p>
      </dgm:t>
    </dgm:pt>
    <dgm:pt modelId="{F0D6163E-06E5-40FD-BEC6-26B07B7EF79F}" type="parTrans" cxnId="{C2373BF9-11EC-4FEE-A009-D3B09F12BD52}">
      <dgm:prSet/>
      <dgm:spPr/>
      <dgm:t>
        <a:bodyPr/>
        <a:lstStyle/>
        <a:p>
          <a:endParaRPr lang="fr-CH"/>
        </a:p>
      </dgm:t>
    </dgm:pt>
    <dgm:pt modelId="{83C8C6A6-8C92-424C-AAA8-D6A9EDF66018}" type="sibTrans" cxnId="{C2373BF9-11EC-4FEE-A009-D3B09F12BD52}">
      <dgm:prSet/>
      <dgm:spPr/>
      <dgm:t>
        <a:bodyPr/>
        <a:lstStyle/>
        <a:p>
          <a:endParaRPr lang="fr-CH"/>
        </a:p>
      </dgm:t>
    </dgm:pt>
    <dgm:pt modelId="{124324A8-B22A-468A-B869-865369083A49}">
      <dgm:prSet phldrT="[Text]"/>
      <dgm:spPr/>
      <dgm:t>
        <a:bodyPr/>
        <a:lstStyle/>
        <a:p>
          <a:r>
            <a:rPr lang="fr-CH"/>
            <a:t>Follow the Geneva political endorsement process, advocating with relevant diplomatic missions in Geneva in coordination with country focal points; </a:t>
          </a:r>
        </a:p>
      </dgm:t>
    </dgm:pt>
    <dgm:pt modelId="{43CD3FC7-0BA5-4458-93AF-7D89E3AB1855}" type="parTrans" cxnId="{C002D428-E66E-4CB0-B6BF-425CB12E667D}">
      <dgm:prSet/>
      <dgm:spPr/>
      <dgm:t>
        <a:bodyPr/>
        <a:lstStyle/>
        <a:p>
          <a:endParaRPr lang="fr-CH"/>
        </a:p>
      </dgm:t>
    </dgm:pt>
    <dgm:pt modelId="{09A59E45-A9CA-4EDB-8ABB-A0660921C4C1}" type="sibTrans" cxnId="{C002D428-E66E-4CB0-B6BF-425CB12E667D}">
      <dgm:prSet/>
      <dgm:spPr/>
      <dgm:t>
        <a:bodyPr/>
        <a:lstStyle/>
        <a:p>
          <a:endParaRPr lang="fr-CH"/>
        </a:p>
      </dgm:t>
    </dgm:pt>
    <dgm:pt modelId="{B06AD06C-3B68-44D1-82D7-9A432D5D04E8}">
      <dgm:prSet phldrT="[Text]"/>
      <dgm:spPr/>
      <dgm:t>
        <a:bodyPr/>
        <a:lstStyle/>
        <a:p>
          <a:r>
            <a:rPr lang="fr-CH"/>
            <a:t>Focal points</a:t>
          </a:r>
        </a:p>
      </dgm:t>
    </dgm:pt>
    <dgm:pt modelId="{4DA9617C-F9FE-4097-988A-12BE36DB9246}" type="parTrans" cxnId="{0AD913B2-FEC0-473A-8424-182881536FE8}">
      <dgm:prSet/>
      <dgm:spPr/>
      <dgm:t>
        <a:bodyPr/>
        <a:lstStyle/>
        <a:p>
          <a:endParaRPr lang="fr-CH"/>
        </a:p>
      </dgm:t>
    </dgm:pt>
    <dgm:pt modelId="{D6D4FFE1-CA8C-4612-AA82-56614B3FB111}" type="sibTrans" cxnId="{0AD913B2-FEC0-473A-8424-182881536FE8}">
      <dgm:prSet/>
      <dgm:spPr/>
      <dgm:t>
        <a:bodyPr/>
        <a:lstStyle/>
        <a:p>
          <a:endParaRPr lang="fr-CH"/>
        </a:p>
      </dgm:t>
    </dgm:pt>
    <dgm:pt modelId="{70F788E4-5C93-40D3-88DE-93D26F1EC0F3}">
      <dgm:prSet phldrT="[Text]"/>
      <dgm:spPr/>
      <dgm:t>
        <a:bodyPr/>
        <a:lstStyle/>
        <a:p>
          <a:r>
            <a:rPr lang="fr-CH"/>
            <a:t>Liaise with respective country offices and other GCPEA members active in-country to feed relevant updates and help plan advocacy</a:t>
          </a:r>
        </a:p>
      </dgm:t>
    </dgm:pt>
    <dgm:pt modelId="{59CEEC89-B8F7-42AC-BA1F-03B30CAF6611}" type="parTrans" cxnId="{AB481A65-4608-48DE-80C0-55D1A3666A45}">
      <dgm:prSet/>
      <dgm:spPr/>
      <dgm:t>
        <a:bodyPr/>
        <a:lstStyle/>
        <a:p>
          <a:endParaRPr lang="fr-CH"/>
        </a:p>
      </dgm:t>
    </dgm:pt>
    <dgm:pt modelId="{582FCAC0-8320-4AF4-990E-676064C09CC8}" type="sibTrans" cxnId="{AB481A65-4608-48DE-80C0-55D1A3666A45}">
      <dgm:prSet/>
      <dgm:spPr/>
      <dgm:t>
        <a:bodyPr/>
        <a:lstStyle/>
        <a:p>
          <a:endParaRPr lang="fr-CH"/>
        </a:p>
      </dgm:t>
    </dgm:pt>
    <dgm:pt modelId="{BCAC7924-47B6-4601-AB0E-EB0A4BE54F19}">
      <dgm:prSet phldrT="[Text]"/>
      <dgm:spPr/>
      <dgm:t>
        <a:bodyPr/>
        <a:lstStyle/>
        <a:p>
          <a:r>
            <a:rPr lang="fr-CH"/>
            <a:t>Liaise with GCPEA coordinator and military use working group to ensure relevant feedback and get relevant updates </a:t>
          </a:r>
        </a:p>
      </dgm:t>
    </dgm:pt>
    <dgm:pt modelId="{5B57CB1F-449B-4F36-90D2-C7377D81CF27}" type="parTrans" cxnId="{E260AC4C-1E3A-4963-90CA-6C32A27079CC}">
      <dgm:prSet/>
      <dgm:spPr/>
      <dgm:t>
        <a:bodyPr/>
        <a:lstStyle/>
        <a:p>
          <a:endParaRPr lang="fr-CH"/>
        </a:p>
      </dgm:t>
    </dgm:pt>
    <dgm:pt modelId="{DBC3D96A-EBC6-4E03-9B65-CBA618347245}" type="sibTrans" cxnId="{E260AC4C-1E3A-4963-90CA-6C32A27079CC}">
      <dgm:prSet/>
      <dgm:spPr/>
      <dgm:t>
        <a:bodyPr/>
        <a:lstStyle/>
        <a:p>
          <a:endParaRPr lang="fr-CH"/>
        </a:p>
      </dgm:t>
    </dgm:pt>
    <dgm:pt modelId="{A8F52C9C-B3D3-4EFB-80D1-D3189932EE07}">
      <dgm:prSet phldrT="[Text]"/>
      <dgm:spPr/>
      <dgm:t>
        <a:bodyPr/>
        <a:lstStyle/>
        <a:p>
          <a:r>
            <a:rPr lang="fr-CH"/>
            <a:t>Country offices</a:t>
          </a:r>
        </a:p>
      </dgm:t>
    </dgm:pt>
    <dgm:pt modelId="{EA7927A4-2ADF-4567-B775-A600F71C5E7F}" type="parTrans" cxnId="{E34B68C3-F35C-440F-AAF1-67F260326E86}">
      <dgm:prSet/>
      <dgm:spPr/>
      <dgm:t>
        <a:bodyPr/>
        <a:lstStyle/>
        <a:p>
          <a:endParaRPr lang="fr-CH"/>
        </a:p>
      </dgm:t>
    </dgm:pt>
    <dgm:pt modelId="{4A8C574B-CEAB-474E-9CFA-27626A4C249D}" type="sibTrans" cxnId="{E34B68C3-F35C-440F-AAF1-67F260326E86}">
      <dgm:prSet/>
      <dgm:spPr/>
      <dgm:t>
        <a:bodyPr/>
        <a:lstStyle/>
        <a:p>
          <a:endParaRPr lang="fr-CH"/>
        </a:p>
      </dgm:t>
    </dgm:pt>
    <dgm:pt modelId="{59CC3214-5A96-4AB0-94A2-778B140976A6}">
      <dgm:prSet phldrT="[Text]"/>
      <dgm:spPr/>
      <dgm:t>
        <a:bodyPr/>
        <a:lstStyle/>
        <a:p>
          <a:r>
            <a:rPr lang="fr-CH"/>
            <a:t>Engage relevant counterparts at capital level</a:t>
          </a:r>
        </a:p>
      </dgm:t>
    </dgm:pt>
    <dgm:pt modelId="{B73026B6-2975-46A7-934C-FB259D2786D3}" type="parTrans" cxnId="{8D8533E6-3913-4D9B-AA6C-07B4F8E12526}">
      <dgm:prSet/>
      <dgm:spPr/>
      <dgm:t>
        <a:bodyPr/>
        <a:lstStyle/>
        <a:p>
          <a:endParaRPr lang="fr-CH"/>
        </a:p>
      </dgm:t>
    </dgm:pt>
    <dgm:pt modelId="{A6BBD1BC-D4F7-4680-9F21-9D9A31A9D4E1}" type="sibTrans" cxnId="{8D8533E6-3913-4D9B-AA6C-07B4F8E12526}">
      <dgm:prSet/>
      <dgm:spPr/>
      <dgm:t>
        <a:bodyPr/>
        <a:lstStyle/>
        <a:p>
          <a:endParaRPr lang="fr-CH"/>
        </a:p>
      </dgm:t>
    </dgm:pt>
    <dgm:pt modelId="{B12D1903-51A8-4DA0-A89E-CCC9D65EC495}">
      <dgm:prSet phldrT="[Text]"/>
      <dgm:spPr/>
      <dgm:t>
        <a:bodyPr/>
        <a:lstStyle/>
        <a:p>
          <a:r>
            <a:rPr lang="fr-CH"/>
            <a:t>Provide feedback to focal points</a:t>
          </a:r>
        </a:p>
      </dgm:t>
    </dgm:pt>
    <dgm:pt modelId="{9C4A60D3-F2E3-4B14-82FC-1D4F0D01B983}" type="parTrans" cxnId="{9D639BC7-F270-477D-A17F-CDD569975D16}">
      <dgm:prSet/>
      <dgm:spPr/>
      <dgm:t>
        <a:bodyPr/>
        <a:lstStyle/>
        <a:p>
          <a:endParaRPr lang="fr-CH"/>
        </a:p>
      </dgm:t>
    </dgm:pt>
    <dgm:pt modelId="{9FEA5F51-1767-4545-B48A-6EEA131F3E3E}" type="sibTrans" cxnId="{9D639BC7-F270-477D-A17F-CDD569975D16}">
      <dgm:prSet/>
      <dgm:spPr/>
      <dgm:t>
        <a:bodyPr/>
        <a:lstStyle/>
        <a:p>
          <a:endParaRPr lang="fr-CH"/>
        </a:p>
      </dgm:t>
    </dgm:pt>
    <dgm:pt modelId="{B6F49A3C-E288-4AC4-8D45-740727FE9E64}">
      <dgm:prSet phldrT="[Text]"/>
      <dgm:spPr/>
      <dgm:t>
        <a:bodyPr/>
        <a:lstStyle/>
        <a:p>
          <a:r>
            <a:rPr lang="fr-CH"/>
            <a:t>Develop advocacy and communication tools and provide technical assistance to members as needed</a:t>
          </a:r>
        </a:p>
      </dgm:t>
    </dgm:pt>
    <dgm:pt modelId="{D0B7131E-8248-45AF-9C71-CA2DFF41C56F}" type="parTrans" cxnId="{00212BDB-E5F3-4DE8-A09A-13CD831AA696}">
      <dgm:prSet/>
      <dgm:spPr/>
      <dgm:t>
        <a:bodyPr/>
        <a:lstStyle/>
        <a:p>
          <a:endParaRPr lang="fr-CH"/>
        </a:p>
      </dgm:t>
    </dgm:pt>
    <dgm:pt modelId="{4A7F516E-019F-4036-8D34-82A07A135F97}" type="sibTrans" cxnId="{00212BDB-E5F3-4DE8-A09A-13CD831AA696}">
      <dgm:prSet/>
      <dgm:spPr/>
      <dgm:t>
        <a:bodyPr/>
        <a:lstStyle/>
        <a:p>
          <a:endParaRPr lang="fr-CH"/>
        </a:p>
      </dgm:t>
    </dgm:pt>
    <dgm:pt modelId="{18F76024-3537-4C7A-9C35-77BE60B34AFE}">
      <dgm:prSet phldrT="[Text]"/>
      <dgm:spPr/>
      <dgm:t>
        <a:bodyPr/>
        <a:lstStyle/>
        <a:p>
          <a:r>
            <a:rPr lang="fr-CH"/>
            <a:t>Ensure coherence in messaging and strategies</a:t>
          </a:r>
        </a:p>
      </dgm:t>
    </dgm:pt>
    <dgm:pt modelId="{2BAFB982-18DA-44BC-88AB-41803FC30FF3}" type="parTrans" cxnId="{9B74B9FD-C679-4855-AA6B-E6F9DB915E43}">
      <dgm:prSet/>
      <dgm:spPr/>
      <dgm:t>
        <a:bodyPr/>
        <a:lstStyle/>
        <a:p>
          <a:endParaRPr lang="fr-CH"/>
        </a:p>
      </dgm:t>
    </dgm:pt>
    <dgm:pt modelId="{62032ED5-BC8F-4D33-B544-CFB08B1DD82C}" type="sibTrans" cxnId="{9B74B9FD-C679-4855-AA6B-E6F9DB915E43}">
      <dgm:prSet/>
      <dgm:spPr/>
      <dgm:t>
        <a:bodyPr/>
        <a:lstStyle/>
        <a:p>
          <a:endParaRPr lang="fr-CH"/>
        </a:p>
      </dgm:t>
    </dgm:pt>
    <dgm:pt modelId="{13873C4E-07C9-48A5-8AD1-0602F8B7731B}">
      <dgm:prSet phldrT="[Text]"/>
      <dgm:spPr/>
      <dgm:t>
        <a:bodyPr/>
        <a:lstStyle/>
        <a:p>
          <a:r>
            <a:rPr lang="fr-CH"/>
            <a:t>Provide overall strategic direction for GCPEA's advocacy around the Guidelines</a:t>
          </a:r>
        </a:p>
      </dgm:t>
    </dgm:pt>
    <dgm:pt modelId="{734C35EC-7B0B-4A59-9CE1-BA2A2066261E}" type="parTrans" cxnId="{BCDD9400-9F4D-4393-85C4-24CF3F4A9098}">
      <dgm:prSet/>
      <dgm:spPr/>
      <dgm:t>
        <a:bodyPr/>
        <a:lstStyle/>
        <a:p>
          <a:endParaRPr lang="fr-CH"/>
        </a:p>
      </dgm:t>
    </dgm:pt>
    <dgm:pt modelId="{152FE456-4448-4D39-8ED7-F5EBD71B8AB7}" type="sibTrans" cxnId="{BCDD9400-9F4D-4393-85C4-24CF3F4A9098}">
      <dgm:prSet/>
      <dgm:spPr/>
      <dgm:t>
        <a:bodyPr/>
        <a:lstStyle/>
        <a:p>
          <a:endParaRPr lang="fr-CH"/>
        </a:p>
      </dgm:t>
    </dgm:pt>
    <dgm:pt modelId="{B4663E0E-CC22-444F-B4F1-D6E0F61FA429}">
      <dgm:prSet phldrT="[Text]"/>
      <dgm:spPr/>
      <dgm:t>
        <a:bodyPr/>
        <a:lstStyle/>
        <a:p>
          <a:r>
            <a:rPr lang="fr-CH"/>
            <a:t>Compile and disseminate updates on country positions and maintain an overview of advocacy actions at global, regional and national level;</a:t>
          </a:r>
        </a:p>
      </dgm:t>
    </dgm:pt>
    <dgm:pt modelId="{2F541B96-DFD9-403E-9781-747F957A8C6B}" type="parTrans" cxnId="{7B8417FF-08DB-4B46-8CF9-62964551A996}">
      <dgm:prSet/>
      <dgm:spPr/>
      <dgm:t>
        <a:bodyPr/>
        <a:lstStyle/>
        <a:p>
          <a:endParaRPr lang="fr-CH"/>
        </a:p>
      </dgm:t>
    </dgm:pt>
    <dgm:pt modelId="{8CB34827-8221-4B5D-A2EA-95C285A70657}" type="sibTrans" cxnId="{7B8417FF-08DB-4B46-8CF9-62964551A996}">
      <dgm:prSet/>
      <dgm:spPr/>
      <dgm:t>
        <a:bodyPr/>
        <a:lstStyle/>
        <a:p>
          <a:endParaRPr lang="fr-CH"/>
        </a:p>
      </dgm:t>
    </dgm:pt>
    <dgm:pt modelId="{2F64EF35-2333-4ED4-85CE-BC17CB27396C}" type="pres">
      <dgm:prSet presAssocID="{92C087E1-1FCA-4588-9217-37F2856E2437}" presName="linearFlow" presStyleCnt="0">
        <dgm:presLayoutVars>
          <dgm:dir/>
          <dgm:animLvl val="lvl"/>
          <dgm:resizeHandles val="exact"/>
        </dgm:presLayoutVars>
      </dgm:prSet>
      <dgm:spPr/>
      <dgm:t>
        <a:bodyPr/>
        <a:lstStyle/>
        <a:p>
          <a:endParaRPr lang="fr-CH"/>
        </a:p>
      </dgm:t>
    </dgm:pt>
    <dgm:pt modelId="{10EA5423-B350-4708-828A-7A1663E0E119}" type="pres">
      <dgm:prSet presAssocID="{F5445A5D-ACDC-4A53-A07A-73E0B31F39F8}" presName="composite" presStyleCnt="0"/>
      <dgm:spPr/>
    </dgm:pt>
    <dgm:pt modelId="{5D6E576C-52A8-4386-9EED-C0A7C290082F}" type="pres">
      <dgm:prSet presAssocID="{F5445A5D-ACDC-4A53-A07A-73E0B31F39F8}" presName="parentText" presStyleLbl="alignNode1" presStyleIdx="0" presStyleCnt="3">
        <dgm:presLayoutVars>
          <dgm:chMax val="1"/>
          <dgm:bulletEnabled val="1"/>
        </dgm:presLayoutVars>
      </dgm:prSet>
      <dgm:spPr/>
      <dgm:t>
        <a:bodyPr/>
        <a:lstStyle/>
        <a:p>
          <a:endParaRPr lang="fr-CH"/>
        </a:p>
      </dgm:t>
    </dgm:pt>
    <dgm:pt modelId="{BE2F1843-9444-47DC-9031-29849462814A}" type="pres">
      <dgm:prSet presAssocID="{F5445A5D-ACDC-4A53-A07A-73E0B31F39F8}" presName="descendantText" presStyleLbl="alignAcc1" presStyleIdx="0" presStyleCnt="3">
        <dgm:presLayoutVars>
          <dgm:bulletEnabled val="1"/>
        </dgm:presLayoutVars>
      </dgm:prSet>
      <dgm:spPr/>
      <dgm:t>
        <a:bodyPr/>
        <a:lstStyle/>
        <a:p>
          <a:endParaRPr lang="fr-CH"/>
        </a:p>
      </dgm:t>
    </dgm:pt>
    <dgm:pt modelId="{2F2D80D4-FC19-465C-A547-B6DBD9FAEEA9}" type="pres">
      <dgm:prSet presAssocID="{83C8C6A6-8C92-424C-AAA8-D6A9EDF66018}" presName="sp" presStyleCnt="0"/>
      <dgm:spPr/>
    </dgm:pt>
    <dgm:pt modelId="{ACC6EAD6-B8E7-4A14-96C2-B9EDD3E8931A}" type="pres">
      <dgm:prSet presAssocID="{B06AD06C-3B68-44D1-82D7-9A432D5D04E8}" presName="composite" presStyleCnt="0"/>
      <dgm:spPr/>
    </dgm:pt>
    <dgm:pt modelId="{2C74484B-F137-40B7-AC6C-1F8A57C7ABE0}" type="pres">
      <dgm:prSet presAssocID="{B06AD06C-3B68-44D1-82D7-9A432D5D04E8}" presName="parentText" presStyleLbl="alignNode1" presStyleIdx="1" presStyleCnt="3">
        <dgm:presLayoutVars>
          <dgm:chMax val="1"/>
          <dgm:bulletEnabled val="1"/>
        </dgm:presLayoutVars>
      </dgm:prSet>
      <dgm:spPr/>
      <dgm:t>
        <a:bodyPr/>
        <a:lstStyle/>
        <a:p>
          <a:endParaRPr lang="fr-CH"/>
        </a:p>
      </dgm:t>
    </dgm:pt>
    <dgm:pt modelId="{842A840E-5459-46B8-89F6-6FC9C94A1344}" type="pres">
      <dgm:prSet presAssocID="{B06AD06C-3B68-44D1-82D7-9A432D5D04E8}" presName="descendantText" presStyleLbl="alignAcc1" presStyleIdx="1" presStyleCnt="3">
        <dgm:presLayoutVars>
          <dgm:bulletEnabled val="1"/>
        </dgm:presLayoutVars>
      </dgm:prSet>
      <dgm:spPr/>
      <dgm:t>
        <a:bodyPr/>
        <a:lstStyle/>
        <a:p>
          <a:endParaRPr lang="fr-CH"/>
        </a:p>
      </dgm:t>
    </dgm:pt>
    <dgm:pt modelId="{4DF5E27E-0EAA-4A16-84BB-A84E0C3967B0}" type="pres">
      <dgm:prSet presAssocID="{D6D4FFE1-CA8C-4612-AA82-56614B3FB111}" presName="sp" presStyleCnt="0"/>
      <dgm:spPr/>
    </dgm:pt>
    <dgm:pt modelId="{A58286F5-019C-4825-B360-0F7FA5F4E01F}" type="pres">
      <dgm:prSet presAssocID="{A8F52C9C-B3D3-4EFB-80D1-D3189932EE07}" presName="composite" presStyleCnt="0"/>
      <dgm:spPr/>
    </dgm:pt>
    <dgm:pt modelId="{B55619AF-B26E-4B62-A292-9424F1358503}" type="pres">
      <dgm:prSet presAssocID="{A8F52C9C-B3D3-4EFB-80D1-D3189932EE07}" presName="parentText" presStyleLbl="alignNode1" presStyleIdx="2" presStyleCnt="3">
        <dgm:presLayoutVars>
          <dgm:chMax val="1"/>
          <dgm:bulletEnabled val="1"/>
        </dgm:presLayoutVars>
      </dgm:prSet>
      <dgm:spPr/>
      <dgm:t>
        <a:bodyPr/>
        <a:lstStyle/>
        <a:p>
          <a:endParaRPr lang="fr-CH"/>
        </a:p>
      </dgm:t>
    </dgm:pt>
    <dgm:pt modelId="{B1773D02-F070-4217-A2C8-5321EB37846D}" type="pres">
      <dgm:prSet presAssocID="{A8F52C9C-B3D3-4EFB-80D1-D3189932EE07}" presName="descendantText" presStyleLbl="alignAcc1" presStyleIdx="2" presStyleCnt="3">
        <dgm:presLayoutVars>
          <dgm:bulletEnabled val="1"/>
        </dgm:presLayoutVars>
      </dgm:prSet>
      <dgm:spPr/>
      <dgm:t>
        <a:bodyPr/>
        <a:lstStyle/>
        <a:p>
          <a:endParaRPr lang="fr-CH"/>
        </a:p>
      </dgm:t>
    </dgm:pt>
  </dgm:ptLst>
  <dgm:cxnLst>
    <dgm:cxn modelId="{AB481A65-4608-48DE-80C0-55D1A3666A45}" srcId="{B06AD06C-3B68-44D1-82D7-9A432D5D04E8}" destId="{70F788E4-5C93-40D3-88DE-93D26F1EC0F3}" srcOrd="0" destOrd="0" parTransId="{59CEEC89-B8F7-42AC-BA1F-03B30CAF6611}" sibTransId="{582FCAC0-8320-4AF4-990E-676064C09CC8}"/>
    <dgm:cxn modelId="{BDF441C3-E601-4A3E-9BE1-C660B9A87306}" type="presOf" srcId="{13873C4E-07C9-48A5-8AD1-0602F8B7731B}" destId="{BE2F1843-9444-47DC-9031-29849462814A}" srcOrd="0" destOrd="0" presId="urn:microsoft.com/office/officeart/2005/8/layout/chevron2"/>
    <dgm:cxn modelId="{8C2F40F5-4D8E-4D49-99DD-C939F9CAB43A}" type="presOf" srcId="{18F76024-3537-4C7A-9C35-77BE60B34AFE}" destId="{842A840E-5459-46B8-89F6-6FC9C94A1344}" srcOrd="0" destOrd="2" presId="urn:microsoft.com/office/officeart/2005/8/layout/chevron2"/>
    <dgm:cxn modelId="{C2373BF9-11EC-4FEE-A009-D3B09F12BD52}" srcId="{92C087E1-1FCA-4588-9217-37F2856E2437}" destId="{F5445A5D-ACDC-4A53-A07A-73E0B31F39F8}" srcOrd="0" destOrd="0" parTransId="{F0D6163E-06E5-40FD-BEC6-26B07B7EF79F}" sibTransId="{83C8C6A6-8C92-424C-AAA8-D6A9EDF66018}"/>
    <dgm:cxn modelId="{340EAF9B-95C5-4BDF-A096-405B5410A6A4}" type="presOf" srcId="{70F788E4-5C93-40D3-88DE-93D26F1EC0F3}" destId="{842A840E-5459-46B8-89F6-6FC9C94A1344}" srcOrd="0" destOrd="0" presId="urn:microsoft.com/office/officeart/2005/8/layout/chevron2"/>
    <dgm:cxn modelId="{8D8533E6-3913-4D9B-AA6C-07B4F8E12526}" srcId="{A8F52C9C-B3D3-4EFB-80D1-D3189932EE07}" destId="{59CC3214-5A96-4AB0-94A2-778B140976A6}" srcOrd="0" destOrd="0" parTransId="{B73026B6-2975-46A7-934C-FB259D2786D3}" sibTransId="{A6BBD1BC-D4F7-4680-9F21-9D9A31A9D4E1}"/>
    <dgm:cxn modelId="{94DD4D49-A21F-47EA-BE45-ABE58E1B5F06}" type="presOf" srcId="{B6F49A3C-E288-4AC4-8D45-740727FE9E64}" destId="{BE2F1843-9444-47DC-9031-29849462814A}" srcOrd="0" destOrd="3" presId="urn:microsoft.com/office/officeart/2005/8/layout/chevron2"/>
    <dgm:cxn modelId="{00212BDB-E5F3-4DE8-A09A-13CD831AA696}" srcId="{F5445A5D-ACDC-4A53-A07A-73E0B31F39F8}" destId="{B6F49A3C-E288-4AC4-8D45-740727FE9E64}" srcOrd="3" destOrd="0" parTransId="{D0B7131E-8248-45AF-9C71-CA2DFF41C56F}" sibTransId="{4A7F516E-019F-4036-8D34-82A07A135F97}"/>
    <dgm:cxn modelId="{515FB958-95F8-4870-B56B-18032127056F}" type="presOf" srcId="{F5445A5D-ACDC-4A53-A07A-73E0B31F39F8}" destId="{5D6E576C-52A8-4386-9EED-C0A7C290082F}" srcOrd="0" destOrd="0" presId="urn:microsoft.com/office/officeart/2005/8/layout/chevron2"/>
    <dgm:cxn modelId="{9B74B9FD-C679-4855-AA6B-E6F9DB915E43}" srcId="{B06AD06C-3B68-44D1-82D7-9A432D5D04E8}" destId="{18F76024-3537-4C7A-9C35-77BE60B34AFE}" srcOrd="2" destOrd="0" parTransId="{2BAFB982-18DA-44BC-88AB-41803FC30FF3}" sibTransId="{62032ED5-BC8F-4D33-B544-CFB08B1DD82C}"/>
    <dgm:cxn modelId="{7B8417FF-08DB-4B46-8CF9-62964551A996}" srcId="{F5445A5D-ACDC-4A53-A07A-73E0B31F39F8}" destId="{B4663E0E-CC22-444F-B4F1-D6E0F61FA429}" srcOrd="2" destOrd="0" parTransId="{2F541B96-DFD9-403E-9781-747F957A8C6B}" sibTransId="{8CB34827-8221-4B5D-A2EA-95C285A70657}"/>
    <dgm:cxn modelId="{7C99CCCA-7E21-459F-8DC5-E6820AE79C62}" type="presOf" srcId="{124324A8-B22A-468A-B869-865369083A49}" destId="{BE2F1843-9444-47DC-9031-29849462814A}" srcOrd="0" destOrd="1" presId="urn:microsoft.com/office/officeart/2005/8/layout/chevron2"/>
    <dgm:cxn modelId="{9D639BC7-F270-477D-A17F-CDD569975D16}" srcId="{A8F52C9C-B3D3-4EFB-80D1-D3189932EE07}" destId="{B12D1903-51A8-4DA0-A89E-CCC9D65EC495}" srcOrd="1" destOrd="0" parTransId="{9C4A60D3-F2E3-4B14-82FC-1D4F0D01B983}" sibTransId="{9FEA5F51-1767-4545-B48A-6EEA131F3E3E}"/>
    <dgm:cxn modelId="{E34B68C3-F35C-440F-AAF1-67F260326E86}" srcId="{92C087E1-1FCA-4588-9217-37F2856E2437}" destId="{A8F52C9C-B3D3-4EFB-80D1-D3189932EE07}" srcOrd="2" destOrd="0" parTransId="{EA7927A4-2ADF-4567-B775-A600F71C5E7F}" sibTransId="{4A8C574B-CEAB-474E-9CFA-27626A4C249D}"/>
    <dgm:cxn modelId="{C002D428-E66E-4CB0-B6BF-425CB12E667D}" srcId="{F5445A5D-ACDC-4A53-A07A-73E0B31F39F8}" destId="{124324A8-B22A-468A-B869-865369083A49}" srcOrd="1" destOrd="0" parTransId="{43CD3FC7-0BA5-4458-93AF-7D89E3AB1855}" sibTransId="{09A59E45-A9CA-4EDB-8ABB-A0660921C4C1}"/>
    <dgm:cxn modelId="{0AD913B2-FEC0-473A-8424-182881536FE8}" srcId="{92C087E1-1FCA-4588-9217-37F2856E2437}" destId="{B06AD06C-3B68-44D1-82D7-9A432D5D04E8}" srcOrd="1" destOrd="0" parTransId="{4DA9617C-F9FE-4097-988A-12BE36DB9246}" sibTransId="{D6D4FFE1-CA8C-4612-AA82-56614B3FB111}"/>
    <dgm:cxn modelId="{E260AC4C-1E3A-4963-90CA-6C32A27079CC}" srcId="{B06AD06C-3B68-44D1-82D7-9A432D5D04E8}" destId="{BCAC7924-47B6-4601-AB0E-EB0A4BE54F19}" srcOrd="1" destOrd="0" parTransId="{5B57CB1F-449B-4F36-90D2-C7377D81CF27}" sibTransId="{DBC3D96A-EBC6-4E03-9B65-CBA618347245}"/>
    <dgm:cxn modelId="{D1CAD49B-4887-464B-A1B3-3DD2B9CE7AD6}" type="presOf" srcId="{92C087E1-1FCA-4588-9217-37F2856E2437}" destId="{2F64EF35-2333-4ED4-85CE-BC17CB27396C}" srcOrd="0" destOrd="0" presId="urn:microsoft.com/office/officeart/2005/8/layout/chevron2"/>
    <dgm:cxn modelId="{4075AF4E-6727-412C-BB7B-9E8C881BE4B7}" type="presOf" srcId="{A8F52C9C-B3D3-4EFB-80D1-D3189932EE07}" destId="{B55619AF-B26E-4B62-A292-9424F1358503}" srcOrd="0" destOrd="0" presId="urn:microsoft.com/office/officeart/2005/8/layout/chevron2"/>
    <dgm:cxn modelId="{BCDD9400-9F4D-4393-85C4-24CF3F4A9098}" srcId="{F5445A5D-ACDC-4A53-A07A-73E0B31F39F8}" destId="{13873C4E-07C9-48A5-8AD1-0602F8B7731B}" srcOrd="0" destOrd="0" parTransId="{734C35EC-7B0B-4A59-9CE1-BA2A2066261E}" sibTransId="{152FE456-4448-4D39-8ED7-F5EBD71B8AB7}"/>
    <dgm:cxn modelId="{410C47AC-4E8A-424D-BE53-CAFC411DCDEB}" type="presOf" srcId="{B06AD06C-3B68-44D1-82D7-9A432D5D04E8}" destId="{2C74484B-F137-40B7-AC6C-1F8A57C7ABE0}" srcOrd="0" destOrd="0" presId="urn:microsoft.com/office/officeart/2005/8/layout/chevron2"/>
    <dgm:cxn modelId="{2253B271-4ADA-4737-A44F-58BBD3A2C2B3}" type="presOf" srcId="{BCAC7924-47B6-4601-AB0E-EB0A4BE54F19}" destId="{842A840E-5459-46B8-89F6-6FC9C94A1344}" srcOrd="0" destOrd="1" presId="urn:microsoft.com/office/officeart/2005/8/layout/chevron2"/>
    <dgm:cxn modelId="{0782137D-FDA7-4681-8074-50DBE6BCC2B0}" type="presOf" srcId="{B12D1903-51A8-4DA0-A89E-CCC9D65EC495}" destId="{B1773D02-F070-4217-A2C8-5321EB37846D}" srcOrd="0" destOrd="1" presId="urn:microsoft.com/office/officeart/2005/8/layout/chevron2"/>
    <dgm:cxn modelId="{24142C4D-A7D5-4F75-AC7B-A83ADA083D73}" type="presOf" srcId="{59CC3214-5A96-4AB0-94A2-778B140976A6}" destId="{B1773D02-F070-4217-A2C8-5321EB37846D}" srcOrd="0" destOrd="0" presId="urn:microsoft.com/office/officeart/2005/8/layout/chevron2"/>
    <dgm:cxn modelId="{6CAA09C7-88A7-4897-8738-EE3EE1668AE4}" type="presOf" srcId="{B4663E0E-CC22-444F-B4F1-D6E0F61FA429}" destId="{BE2F1843-9444-47DC-9031-29849462814A}" srcOrd="0" destOrd="2" presId="urn:microsoft.com/office/officeart/2005/8/layout/chevron2"/>
    <dgm:cxn modelId="{86314ED8-E062-4407-9400-8051B1DEEEDC}" type="presParOf" srcId="{2F64EF35-2333-4ED4-85CE-BC17CB27396C}" destId="{10EA5423-B350-4708-828A-7A1663E0E119}" srcOrd="0" destOrd="0" presId="urn:microsoft.com/office/officeart/2005/8/layout/chevron2"/>
    <dgm:cxn modelId="{CD50500A-8C13-496F-A59B-E80D2E7677A4}" type="presParOf" srcId="{10EA5423-B350-4708-828A-7A1663E0E119}" destId="{5D6E576C-52A8-4386-9EED-C0A7C290082F}" srcOrd="0" destOrd="0" presId="urn:microsoft.com/office/officeart/2005/8/layout/chevron2"/>
    <dgm:cxn modelId="{903C96B5-6DB1-40E6-A89E-E40D962EB4AB}" type="presParOf" srcId="{10EA5423-B350-4708-828A-7A1663E0E119}" destId="{BE2F1843-9444-47DC-9031-29849462814A}" srcOrd="1" destOrd="0" presId="urn:microsoft.com/office/officeart/2005/8/layout/chevron2"/>
    <dgm:cxn modelId="{6AF93645-0151-41FC-A480-DCDCC0CC9F1F}" type="presParOf" srcId="{2F64EF35-2333-4ED4-85CE-BC17CB27396C}" destId="{2F2D80D4-FC19-465C-A547-B6DBD9FAEEA9}" srcOrd="1" destOrd="0" presId="urn:microsoft.com/office/officeart/2005/8/layout/chevron2"/>
    <dgm:cxn modelId="{77799213-6DD4-49E7-989C-BDA5BBE72D1F}" type="presParOf" srcId="{2F64EF35-2333-4ED4-85CE-BC17CB27396C}" destId="{ACC6EAD6-B8E7-4A14-96C2-B9EDD3E8931A}" srcOrd="2" destOrd="0" presId="urn:microsoft.com/office/officeart/2005/8/layout/chevron2"/>
    <dgm:cxn modelId="{3D02487A-8B81-4AB4-AFB1-FE8A6243A07C}" type="presParOf" srcId="{ACC6EAD6-B8E7-4A14-96C2-B9EDD3E8931A}" destId="{2C74484B-F137-40B7-AC6C-1F8A57C7ABE0}" srcOrd="0" destOrd="0" presId="urn:microsoft.com/office/officeart/2005/8/layout/chevron2"/>
    <dgm:cxn modelId="{523D6B77-A9BE-4837-9E75-E81D30BEC55B}" type="presParOf" srcId="{ACC6EAD6-B8E7-4A14-96C2-B9EDD3E8931A}" destId="{842A840E-5459-46B8-89F6-6FC9C94A1344}" srcOrd="1" destOrd="0" presId="urn:microsoft.com/office/officeart/2005/8/layout/chevron2"/>
    <dgm:cxn modelId="{977960F6-7918-4F4A-AB51-7E645F1225D2}" type="presParOf" srcId="{2F64EF35-2333-4ED4-85CE-BC17CB27396C}" destId="{4DF5E27E-0EAA-4A16-84BB-A84E0C3967B0}" srcOrd="3" destOrd="0" presId="urn:microsoft.com/office/officeart/2005/8/layout/chevron2"/>
    <dgm:cxn modelId="{F671DDBD-8C1C-4CFB-B78D-25DD29F71066}" type="presParOf" srcId="{2F64EF35-2333-4ED4-85CE-BC17CB27396C}" destId="{A58286F5-019C-4825-B360-0F7FA5F4E01F}" srcOrd="4" destOrd="0" presId="urn:microsoft.com/office/officeart/2005/8/layout/chevron2"/>
    <dgm:cxn modelId="{0B9BB4B7-2F3A-459C-B141-FF5C0A7C35BF}" type="presParOf" srcId="{A58286F5-019C-4825-B360-0F7FA5F4E01F}" destId="{B55619AF-B26E-4B62-A292-9424F1358503}" srcOrd="0" destOrd="0" presId="urn:microsoft.com/office/officeart/2005/8/layout/chevron2"/>
    <dgm:cxn modelId="{ECDE39F1-169D-4087-98D1-ADC081898C10}" type="presParOf" srcId="{A58286F5-019C-4825-B360-0F7FA5F4E01F}" destId="{B1773D02-F070-4217-A2C8-5321EB37846D}"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6E576C-52A8-4386-9EED-C0A7C290082F}">
      <dsp:nvSpPr>
        <dsp:cNvPr id="0" name=""/>
        <dsp:cNvSpPr/>
      </dsp:nvSpPr>
      <dsp:spPr>
        <a:xfrm rot="5400000">
          <a:off x="-173850" y="174602"/>
          <a:ext cx="1159006" cy="8113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CH" sz="700" kern="1200"/>
            <a:t>GCPEA's Military Use Working Group and Coordinator </a:t>
          </a:r>
        </a:p>
      </dsp:txBody>
      <dsp:txXfrm rot="-5400000">
        <a:off x="1" y="406403"/>
        <a:ext cx="811304" cy="347702"/>
      </dsp:txXfrm>
    </dsp:sp>
    <dsp:sp modelId="{BE2F1843-9444-47DC-9031-29849462814A}">
      <dsp:nvSpPr>
        <dsp:cNvPr id="0" name=""/>
        <dsp:cNvSpPr/>
      </dsp:nvSpPr>
      <dsp:spPr>
        <a:xfrm rot="5400000">
          <a:off x="2664225" y="-1852169"/>
          <a:ext cx="753354" cy="44591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CH" sz="700" kern="1200"/>
            <a:t>Provide overall strategic direction for GCPEA's advocacy around the Guidelines</a:t>
          </a:r>
        </a:p>
        <a:p>
          <a:pPr marL="57150" lvl="1" indent="-57150" algn="l" defTabSz="311150">
            <a:lnSpc>
              <a:spcPct val="90000"/>
            </a:lnSpc>
            <a:spcBef>
              <a:spcPct val="0"/>
            </a:spcBef>
            <a:spcAft>
              <a:spcPct val="15000"/>
            </a:spcAft>
            <a:buChar char="••"/>
          </a:pPr>
          <a:r>
            <a:rPr lang="fr-CH" sz="700" kern="1200"/>
            <a:t>Follow the Geneva political endorsement process, advocating with relevant diplomatic missions in Geneva in coordination with country focal points; </a:t>
          </a:r>
        </a:p>
        <a:p>
          <a:pPr marL="57150" lvl="1" indent="-57150" algn="l" defTabSz="311150">
            <a:lnSpc>
              <a:spcPct val="90000"/>
            </a:lnSpc>
            <a:spcBef>
              <a:spcPct val="0"/>
            </a:spcBef>
            <a:spcAft>
              <a:spcPct val="15000"/>
            </a:spcAft>
            <a:buChar char="••"/>
          </a:pPr>
          <a:r>
            <a:rPr lang="fr-CH" sz="700" kern="1200"/>
            <a:t>Compile and disseminate updates on country positions and maintain an overview of advocacy actions at global, regional and national level;</a:t>
          </a:r>
        </a:p>
        <a:p>
          <a:pPr marL="57150" lvl="1" indent="-57150" algn="l" defTabSz="311150">
            <a:lnSpc>
              <a:spcPct val="90000"/>
            </a:lnSpc>
            <a:spcBef>
              <a:spcPct val="0"/>
            </a:spcBef>
            <a:spcAft>
              <a:spcPct val="15000"/>
            </a:spcAft>
            <a:buChar char="••"/>
          </a:pPr>
          <a:r>
            <a:rPr lang="fr-CH" sz="700" kern="1200"/>
            <a:t>Develop advocacy and communication tools and provide technical assistance to members as needed</a:t>
          </a:r>
        </a:p>
      </dsp:txBody>
      <dsp:txXfrm rot="-5400000">
        <a:off x="811305" y="37527"/>
        <a:ext cx="4422419" cy="679802"/>
      </dsp:txXfrm>
    </dsp:sp>
    <dsp:sp modelId="{2C74484B-F137-40B7-AC6C-1F8A57C7ABE0}">
      <dsp:nvSpPr>
        <dsp:cNvPr id="0" name=""/>
        <dsp:cNvSpPr/>
      </dsp:nvSpPr>
      <dsp:spPr>
        <a:xfrm rot="5400000">
          <a:off x="-173850" y="1131682"/>
          <a:ext cx="1159006" cy="8113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CH" sz="700" kern="1200"/>
            <a:t>Focal points</a:t>
          </a:r>
        </a:p>
      </dsp:txBody>
      <dsp:txXfrm rot="-5400000">
        <a:off x="1" y="1363483"/>
        <a:ext cx="811304" cy="347702"/>
      </dsp:txXfrm>
    </dsp:sp>
    <dsp:sp modelId="{842A840E-5459-46B8-89F6-6FC9C94A1344}">
      <dsp:nvSpPr>
        <dsp:cNvPr id="0" name=""/>
        <dsp:cNvSpPr/>
      </dsp:nvSpPr>
      <dsp:spPr>
        <a:xfrm rot="5400000">
          <a:off x="2664225" y="-895088"/>
          <a:ext cx="753354" cy="44591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CH" sz="700" kern="1200"/>
            <a:t>Liaise with respective country offices and other GCPEA members active in-country to feed relevant updates and help plan advocacy</a:t>
          </a:r>
        </a:p>
        <a:p>
          <a:pPr marL="57150" lvl="1" indent="-57150" algn="l" defTabSz="311150">
            <a:lnSpc>
              <a:spcPct val="90000"/>
            </a:lnSpc>
            <a:spcBef>
              <a:spcPct val="0"/>
            </a:spcBef>
            <a:spcAft>
              <a:spcPct val="15000"/>
            </a:spcAft>
            <a:buChar char="••"/>
          </a:pPr>
          <a:r>
            <a:rPr lang="fr-CH" sz="700" kern="1200"/>
            <a:t>Liaise with GCPEA coordinator and military use working group to ensure relevant feedback and get relevant updates </a:t>
          </a:r>
        </a:p>
        <a:p>
          <a:pPr marL="57150" lvl="1" indent="-57150" algn="l" defTabSz="311150">
            <a:lnSpc>
              <a:spcPct val="90000"/>
            </a:lnSpc>
            <a:spcBef>
              <a:spcPct val="0"/>
            </a:spcBef>
            <a:spcAft>
              <a:spcPct val="15000"/>
            </a:spcAft>
            <a:buChar char="••"/>
          </a:pPr>
          <a:r>
            <a:rPr lang="fr-CH" sz="700" kern="1200"/>
            <a:t>Ensure coherence in messaging and strategies</a:t>
          </a:r>
        </a:p>
      </dsp:txBody>
      <dsp:txXfrm rot="-5400000">
        <a:off x="811305" y="994608"/>
        <a:ext cx="4422419" cy="679802"/>
      </dsp:txXfrm>
    </dsp:sp>
    <dsp:sp modelId="{B55619AF-B26E-4B62-A292-9424F1358503}">
      <dsp:nvSpPr>
        <dsp:cNvPr id="0" name=""/>
        <dsp:cNvSpPr/>
      </dsp:nvSpPr>
      <dsp:spPr>
        <a:xfrm rot="5400000">
          <a:off x="-173850" y="2088762"/>
          <a:ext cx="1159006" cy="8113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CH" sz="700" kern="1200"/>
            <a:t>Country offices</a:t>
          </a:r>
        </a:p>
      </dsp:txBody>
      <dsp:txXfrm rot="-5400000">
        <a:off x="1" y="2320563"/>
        <a:ext cx="811304" cy="347702"/>
      </dsp:txXfrm>
    </dsp:sp>
    <dsp:sp modelId="{B1773D02-F070-4217-A2C8-5321EB37846D}">
      <dsp:nvSpPr>
        <dsp:cNvPr id="0" name=""/>
        <dsp:cNvSpPr/>
      </dsp:nvSpPr>
      <dsp:spPr>
        <a:xfrm rot="5400000">
          <a:off x="2664225" y="61991"/>
          <a:ext cx="753354" cy="44591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CH" sz="700" kern="1200"/>
            <a:t>Engage relevant counterparts at capital level</a:t>
          </a:r>
        </a:p>
        <a:p>
          <a:pPr marL="57150" lvl="1" indent="-57150" algn="l" defTabSz="311150">
            <a:lnSpc>
              <a:spcPct val="90000"/>
            </a:lnSpc>
            <a:spcBef>
              <a:spcPct val="0"/>
            </a:spcBef>
            <a:spcAft>
              <a:spcPct val="15000"/>
            </a:spcAft>
            <a:buChar char="••"/>
          </a:pPr>
          <a:r>
            <a:rPr lang="fr-CH" sz="700" kern="1200"/>
            <a:t>Provide feedback to focal points</a:t>
          </a:r>
        </a:p>
      </dsp:txBody>
      <dsp:txXfrm rot="-5400000">
        <a:off x="811305" y="1951687"/>
        <a:ext cx="4422419" cy="6798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5FE5-15A3-48F7-957E-6619137C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4780</Words>
  <Characters>26291</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Filipa Schmitz Guinote</cp:lastModifiedBy>
  <cp:revision>4</cp:revision>
  <cp:lastPrinted>2015-02-03T16:54:00Z</cp:lastPrinted>
  <dcterms:created xsi:type="dcterms:W3CDTF">2015-03-12T15:24:00Z</dcterms:created>
  <dcterms:modified xsi:type="dcterms:W3CDTF">2015-03-19T14:08:00Z</dcterms:modified>
</cp:coreProperties>
</file>